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0B5" w:rsidRDefault="009950B5" w:rsidP="009950B5">
      <w:pPr>
        <w:pStyle w:val="a4"/>
        <w:jc w:val="right"/>
        <w:rPr>
          <w:szCs w:val="24"/>
        </w:rPr>
      </w:pPr>
      <w:r>
        <w:rPr>
          <w:szCs w:val="24"/>
        </w:rPr>
        <w:t xml:space="preserve">Утверждено приказом начальника </w:t>
      </w:r>
    </w:p>
    <w:p w:rsidR="009950B5" w:rsidRDefault="009950B5" w:rsidP="009950B5">
      <w:pPr>
        <w:pStyle w:val="a4"/>
        <w:jc w:val="right"/>
        <w:rPr>
          <w:szCs w:val="24"/>
        </w:rPr>
      </w:pPr>
      <w:r>
        <w:rPr>
          <w:szCs w:val="24"/>
        </w:rPr>
        <w:t xml:space="preserve">департамента управления имуществом </w:t>
      </w:r>
    </w:p>
    <w:p w:rsidR="009950B5" w:rsidRDefault="009950B5" w:rsidP="009950B5">
      <w:pPr>
        <w:pStyle w:val="a4"/>
        <w:jc w:val="right"/>
        <w:rPr>
          <w:szCs w:val="24"/>
        </w:rPr>
      </w:pPr>
      <w:r>
        <w:rPr>
          <w:szCs w:val="24"/>
        </w:rPr>
        <w:t xml:space="preserve">и земельными ресурсами администрации </w:t>
      </w:r>
    </w:p>
    <w:p w:rsidR="009950B5" w:rsidRPr="00F55B92" w:rsidRDefault="009950B5" w:rsidP="009950B5">
      <w:pPr>
        <w:pStyle w:val="a4"/>
        <w:jc w:val="right"/>
        <w:rPr>
          <w:b w:val="0"/>
          <w:sz w:val="28"/>
          <w:szCs w:val="28"/>
        </w:rPr>
      </w:pPr>
      <w:r>
        <w:rPr>
          <w:szCs w:val="24"/>
        </w:rPr>
        <w:t>города Твери от 0</w:t>
      </w:r>
      <w:r>
        <w:rPr>
          <w:szCs w:val="24"/>
        </w:rPr>
        <w:t>9</w:t>
      </w:r>
      <w:r>
        <w:rPr>
          <w:szCs w:val="24"/>
        </w:rPr>
        <w:t>.04.2026 № 2</w:t>
      </w:r>
      <w:r>
        <w:rPr>
          <w:szCs w:val="24"/>
        </w:rPr>
        <w:t>51</w:t>
      </w:r>
      <w:bookmarkStart w:id="0" w:name="_GoBack"/>
      <w:bookmarkEnd w:id="0"/>
      <w:r>
        <w:rPr>
          <w:szCs w:val="24"/>
        </w:rPr>
        <w:t>/р</w:t>
      </w:r>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w:t>
      </w:r>
      <w:proofErr w:type="gramStart"/>
      <w:r w:rsidRPr="00F55B92">
        <w:rPr>
          <w:rFonts w:cs="Times New Roman"/>
          <w:b/>
          <w:sz w:val="28"/>
          <w:szCs w:val="28"/>
        </w:rPr>
        <w:t>аренды  нежилых</w:t>
      </w:r>
      <w:proofErr w:type="gramEnd"/>
      <w:r w:rsidRPr="00F55B92">
        <w:rPr>
          <w:rFonts w:cs="Times New Roman"/>
          <w:b/>
          <w:sz w:val="28"/>
          <w:szCs w:val="28"/>
        </w:rPr>
        <w:t xml:space="preserve"> помещений, назначенном на </w:t>
      </w:r>
      <w:r w:rsidR="00E1450C" w:rsidRPr="00E1450C">
        <w:rPr>
          <w:rFonts w:cs="Times New Roman"/>
          <w:b/>
          <w:sz w:val="28"/>
          <w:szCs w:val="28"/>
        </w:rPr>
        <w:t>21</w:t>
      </w:r>
      <w:r w:rsidR="00981402" w:rsidRPr="00F55B92">
        <w:rPr>
          <w:rFonts w:cs="Times New Roman"/>
          <w:b/>
          <w:sz w:val="28"/>
          <w:szCs w:val="28"/>
        </w:rPr>
        <w:t>.</w:t>
      </w:r>
      <w:r w:rsidR="00275ABC" w:rsidRPr="00275ABC">
        <w:rPr>
          <w:rFonts w:cs="Times New Roman"/>
          <w:b/>
          <w:sz w:val="28"/>
          <w:szCs w:val="28"/>
        </w:rPr>
        <w:t>0</w:t>
      </w:r>
      <w:r w:rsidR="00D04EB5">
        <w:rPr>
          <w:rFonts w:cs="Times New Roman"/>
          <w:b/>
          <w:sz w:val="28"/>
          <w:szCs w:val="28"/>
        </w:rPr>
        <w:t>5</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275ABC" w:rsidRPr="00275ABC">
        <w:rPr>
          <w:rFonts w:cs="Times New Roman"/>
          <w:b/>
          <w:sz w:val="28"/>
          <w:szCs w:val="28"/>
        </w:rPr>
        <w:t>6</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166F9E">
        <w:rPr>
          <w:rFonts w:cs="Times New Roman"/>
          <w:b/>
          <w:szCs w:val="24"/>
        </w:rPr>
        <w:t>6</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284AAB" w:rsidP="00663530">
            <w:pPr>
              <w:widowControl w:val="0"/>
              <w:jc w:val="center"/>
              <w:rPr>
                <w:rFonts w:cs="Times New Roman"/>
                <w:sz w:val="24"/>
                <w:szCs w:val="24"/>
              </w:rPr>
            </w:pPr>
            <w:r>
              <w:rPr>
                <w:rFonts w:cs="Times New Roman"/>
                <w:sz w:val="24"/>
                <w:szCs w:val="24"/>
              </w:rPr>
              <w:t>3-</w:t>
            </w:r>
            <w:r w:rsidR="006C28DA"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284AAB" w:rsidP="00B41AC9">
            <w:pPr>
              <w:widowControl w:val="0"/>
              <w:jc w:val="center"/>
              <w:rPr>
                <w:rFonts w:cs="Times New Roman"/>
                <w:sz w:val="24"/>
                <w:szCs w:val="24"/>
              </w:rPr>
            </w:pPr>
            <w:r>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284AAB" w:rsidP="00341A4B">
            <w:pPr>
              <w:widowControl w:val="0"/>
              <w:jc w:val="center"/>
              <w:rPr>
                <w:rFonts w:cs="Times New Roman"/>
                <w:sz w:val="24"/>
                <w:szCs w:val="24"/>
              </w:rPr>
            </w:pPr>
            <w:r>
              <w:rPr>
                <w:rFonts w:cs="Times New Roman"/>
                <w:sz w:val="24"/>
                <w:szCs w:val="24"/>
              </w:rPr>
              <w:t>4-</w:t>
            </w:r>
            <w:r w:rsidR="006C28DA"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284AAB" w:rsidP="004542A2">
            <w:pPr>
              <w:widowControl w:val="0"/>
              <w:jc w:val="center"/>
              <w:rPr>
                <w:rFonts w:cs="Times New Roman"/>
                <w:sz w:val="24"/>
                <w:szCs w:val="24"/>
              </w:rPr>
            </w:pPr>
            <w:r>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284AAB" w:rsidP="00C638F6">
            <w:pPr>
              <w:widowControl w:val="0"/>
              <w:jc w:val="center"/>
              <w:rPr>
                <w:rFonts w:cs="Times New Roman"/>
                <w:sz w:val="24"/>
                <w:szCs w:val="24"/>
              </w:rPr>
            </w:pPr>
            <w:r>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284AAB" w:rsidP="006C28DA">
            <w:pPr>
              <w:widowControl w:val="0"/>
              <w:jc w:val="center"/>
              <w:rPr>
                <w:rFonts w:cs="Times New Roman"/>
                <w:sz w:val="24"/>
                <w:szCs w:val="24"/>
              </w:rPr>
            </w:pPr>
            <w:r>
              <w:rPr>
                <w:rFonts w:cs="Times New Roman"/>
                <w:sz w:val="24"/>
                <w:szCs w:val="24"/>
              </w:rPr>
              <w:t>6</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r w:rsidR="00284AAB">
              <w:rPr>
                <w:rFonts w:cs="Times New Roman"/>
                <w:sz w:val="24"/>
                <w:szCs w:val="24"/>
              </w:rPr>
              <w:t>-8</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284AAB" w:rsidP="00C70097">
            <w:pPr>
              <w:widowControl w:val="0"/>
              <w:jc w:val="center"/>
              <w:rPr>
                <w:rFonts w:cs="Times New Roman"/>
                <w:sz w:val="24"/>
                <w:szCs w:val="24"/>
              </w:rPr>
            </w:pPr>
            <w:r>
              <w:rPr>
                <w:rFonts w:cs="Times New Roman"/>
                <w:sz w:val="24"/>
                <w:szCs w:val="24"/>
              </w:rPr>
              <w:t>8-9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284AAB" w:rsidP="00767840">
            <w:pPr>
              <w:widowControl w:val="0"/>
              <w:jc w:val="center"/>
              <w:rPr>
                <w:rFonts w:cs="Times New Roman"/>
                <w:sz w:val="24"/>
                <w:szCs w:val="24"/>
              </w:rPr>
            </w:pPr>
            <w:r>
              <w:rPr>
                <w:rFonts w:cs="Times New Roman"/>
                <w:sz w:val="24"/>
                <w:szCs w:val="24"/>
              </w:rPr>
              <w:t>9-10</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284AAB">
              <w:rPr>
                <w:rFonts w:cs="Times New Roman"/>
                <w:sz w:val="24"/>
                <w:szCs w:val="24"/>
              </w:rPr>
              <w:t>0</w:t>
            </w:r>
            <w:r w:rsidR="0089394D">
              <w:rPr>
                <w:rFonts w:cs="Times New Roman"/>
                <w:sz w:val="24"/>
                <w:szCs w:val="24"/>
              </w:rPr>
              <w:t>-1</w:t>
            </w:r>
            <w:r w:rsidR="00284AAB">
              <w:rPr>
                <w:rFonts w:cs="Times New Roman"/>
                <w:sz w:val="24"/>
                <w:szCs w:val="24"/>
              </w:rPr>
              <w:t>1</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w:t>
            </w:r>
            <w:r w:rsidR="00284AAB">
              <w:rPr>
                <w:rFonts w:cs="Times New Roman"/>
                <w:sz w:val="24"/>
                <w:szCs w:val="24"/>
              </w:rPr>
              <w:t>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284AAB">
              <w:rPr>
                <w:rFonts w:cs="Times New Roman"/>
                <w:sz w:val="24"/>
                <w:szCs w:val="24"/>
              </w:rPr>
              <w:t>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w:t>
            </w:r>
            <w:r w:rsidR="00284AAB">
              <w:rPr>
                <w:rFonts w:cs="Times New Roman"/>
                <w:sz w:val="24"/>
                <w:szCs w:val="24"/>
              </w:rPr>
              <w:t>3</w:t>
            </w:r>
          </w:p>
        </w:tc>
      </w:tr>
      <w:tr w:rsidR="006D0F63" w:rsidRPr="00F55B92" w:rsidTr="00541AF1">
        <w:trPr>
          <w:trHeight w:val="20"/>
        </w:trPr>
        <w:tc>
          <w:tcPr>
            <w:tcW w:w="1844" w:type="dxa"/>
          </w:tcPr>
          <w:p w:rsidR="006D0F63" w:rsidRPr="00F55B92" w:rsidRDefault="006D0F63" w:rsidP="0089394D">
            <w:pPr>
              <w:widowControl w:val="0"/>
              <w:jc w:val="both"/>
              <w:rPr>
                <w:rFonts w:cs="Times New Roman"/>
                <w:szCs w:val="24"/>
              </w:rPr>
            </w:pPr>
            <w:r w:rsidRPr="00F55B92">
              <w:rPr>
                <w:rFonts w:cs="Times New Roman"/>
                <w:szCs w:val="24"/>
              </w:rPr>
              <w:t xml:space="preserve">Приложение  </w:t>
            </w:r>
            <w:r w:rsidR="0089394D">
              <w:rPr>
                <w:rFonts w:cs="Times New Roman"/>
                <w:szCs w:val="24"/>
              </w:rPr>
              <w:t>3</w:t>
            </w:r>
          </w:p>
        </w:tc>
        <w:tc>
          <w:tcPr>
            <w:tcW w:w="7796" w:type="dxa"/>
          </w:tcPr>
          <w:p w:rsidR="000648A8" w:rsidRPr="00F55B92" w:rsidRDefault="006D0F63" w:rsidP="00FE27A0">
            <w:pPr>
              <w:widowControl w:val="0"/>
              <w:shd w:val="clear" w:color="auto" w:fill="FFFFFF"/>
              <w:rPr>
                <w:rFonts w:cs="Times New Roman"/>
                <w:szCs w:val="24"/>
              </w:rPr>
            </w:pPr>
            <w:r w:rsidRPr="00F55B92">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4238D7">
              <w:rPr>
                <w:rFonts w:cs="Times New Roman"/>
                <w:szCs w:val="24"/>
              </w:rPr>
              <w:t xml:space="preserve"> 0</w:t>
            </w:r>
            <w:r w:rsidR="00E1450C" w:rsidRPr="00E1450C">
              <w:rPr>
                <w:rFonts w:cs="Times New Roman"/>
                <w:szCs w:val="24"/>
              </w:rPr>
              <w:t>9</w:t>
            </w:r>
            <w:r w:rsidR="005968B8">
              <w:rPr>
                <w:rFonts w:cs="Times New Roman"/>
                <w:szCs w:val="24"/>
              </w:rPr>
              <w:t>.0</w:t>
            </w:r>
            <w:r w:rsidR="004238D7">
              <w:rPr>
                <w:rFonts w:cs="Times New Roman"/>
                <w:szCs w:val="24"/>
              </w:rPr>
              <w:t>4</w:t>
            </w:r>
            <w:r w:rsidRPr="00F55B92">
              <w:rPr>
                <w:rFonts w:cs="Times New Roman"/>
                <w:szCs w:val="24"/>
              </w:rPr>
              <w:t>.20</w:t>
            </w:r>
            <w:r w:rsidR="00E30450" w:rsidRPr="00F55B92">
              <w:rPr>
                <w:rFonts w:cs="Times New Roman"/>
                <w:szCs w:val="24"/>
              </w:rPr>
              <w:t>2</w:t>
            </w:r>
            <w:r w:rsidR="00F94384">
              <w:rPr>
                <w:rFonts w:cs="Times New Roman"/>
                <w:szCs w:val="24"/>
              </w:rPr>
              <w:t>6</w:t>
            </w:r>
            <w:r w:rsidRPr="00F55B92">
              <w:rPr>
                <w:rFonts w:cs="Times New Roman"/>
                <w:szCs w:val="24"/>
              </w:rPr>
              <w:t xml:space="preserve"> №</w:t>
            </w:r>
            <w:r w:rsidR="00507DFD">
              <w:rPr>
                <w:rFonts w:cs="Times New Roman"/>
                <w:szCs w:val="24"/>
              </w:rPr>
              <w:t>250</w:t>
            </w:r>
            <w:r w:rsidR="00CF2BC0">
              <w:rPr>
                <w:rFonts w:cs="Times New Roman"/>
                <w:szCs w:val="24"/>
              </w:rPr>
              <w:t>_</w:t>
            </w:r>
            <w:r w:rsidRPr="00F55B92">
              <w:rPr>
                <w:rFonts w:cs="Times New Roman"/>
                <w:szCs w:val="24"/>
              </w:rPr>
              <w:t>/р</w:t>
            </w:r>
          </w:p>
        </w:tc>
        <w:tc>
          <w:tcPr>
            <w:tcW w:w="992" w:type="dxa"/>
          </w:tcPr>
          <w:p w:rsidR="006D0F63" w:rsidRPr="00F55B92" w:rsidRDefault="00056F59" w:rsidP="0089394D">
            <w:pPr>
              <w:widowControl w:val="0"/>
              <w:jc w:val="center"/>
              <w:rPr>
                <w:rFonts w:cs="Times New Roman"/>
                <w:szCs w:val="24"/>
              </w:rPr>
            </w:pPr>
            <w:r>
              <w:rPr>
                <w:rFonts w:cs="Times New Roman"/>
                <w:szCs w:val="24"/>
              </w:rPr>
              <w:t>1</w:t>
            </w:r>
            <w:r w:rsidR="00284AAB">
              <w:rPr>
                <w:rFonts w:cs="Times New Roman"/>
                <w:szCs w:val="24"/>
              </w:rPr>
              <w:t>4</w:t>
            </w:r>
          </w:p>
        </w:tc>
      </w:tr>
    </w:tbl>
    <w:p w:rsidR="00E30450" w:rsidRPr="00F55B92"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w:t>
      </w:r>
      <w:proofErr w:type="gramStart"/>
      <w:r w:rsidR="00385959" w:rsidRPr="007A69DC">
        <w:rPr>
          <w:sz w:val="24"/>
          <w:szCs w:val="24"/>
        </w:rPr>
        <w:t xml:space="preserve">состоится </w:t>
      </w:r>
      <w:r w:rsidR="00A312AE">
        <w:rPr>
          <w:sz w:val="24"/>
          <w:szCs w:val="24"/>
        </w:rPr>
        <w:t xml:space="preserve"> </w:t>
      </w:r>
      <w:r w:rsidR="00E1450C" w:rsidRPr="00E1450C">
        <w:rPr>
          <w:sz w:val="24"/>
          <w:szCs w:val="24"/>
        </w:rPr>
        <w:t>21</w:t>
      </w:r>
      <w:r w:rsidR="00F37A26">
        <w:rPr>
          <w:sz w:val="24"/>
          <w:szCs w:val="24"/>
        </w:rPr>
        <w:t>.</w:t>
      </w:r>
      <w:r w:rsidR="00A9539F" w:rsidRPr="00A9539F">
        <w:rPr>
          <w:sz w:val="24"/>
          <w:szCs w:val="24"/>
        </w:rPr>
        <w:t>0</w:t>
      </w:r>
      <w:r w:rsidR="00D04EB5">
        <w:rPr>
          <w:sz w:val="24"/>
          <w:szCs w:val="24"/>
        </w:rPr>
        <w:t>5</w:t>
      </w:r>
      <w:r w:rsidR="00385959" w:rsidRPr="007A69DC">
        <w:rPr>
          <w:sz w:val="24"/>
          <w:szCs w:val="24"/>
        </w:rPr>
        <w:t>.202</w:t>
      </w:r>
      <w:r w:rsidR="00A9539F" w:rsidRPr="00A9539F">
        <w:rPr>
          <w:sz w:val="24"/>
          <w:szCs w:val="24"/>
        </w:rPr>
        <w:t>6</w:t>
      </w:r>
      <w:proofErr w:type="gramEnd"/>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8"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w:t>
      </w:r>
      <w:r w:rsidR="00082F9D">
        <w:t>и</w:t>
      </w:r>
      <w:r w:rsidR="004E5D85" w:rsidRPr="00F55B92">
        <w:t>тся   объект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708"/>
        <w:gridCol w:w="1276"/>
        <w:gridCol w:w="1134"/>
        <w:gridCol w:w="1985"/>
        <w:gridCol w:w="992"/>
        <w:gridCol w:w="1418"/>
      </w:tblGrid>
      <w:tr w:rsidR="007A0781" w:rsidRPr="00FB65DC" w:rsidTr="00A9539F">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proofErr w:type="gramStart"/>
            <w:r w:rsidRPr="00FB65DC">
              <w:rPr>
                <w:b/>
                <w:sz w:val="22"/>
              </w:rPr>
              <w:t>кв.м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E1450C" w:rsidRPr="0088183A" w:rsidTr="00A9539F">
        <w:trPr>
          <w:cantSplit/>
          <w:trHeight w:val="1329"/>
        </w:trPr>
        <w:tc>
          <w:tcPr>
            <w:tcW w:w="567" w:type="dxa"/>
            <w:tcBorders>
              <w:top w:val="single" w:sz="4" w:space="0" w:color="auto"/>
              <w:left w:val="single" w:sz="4" w:space="0" w:color="auto"/>
              <w:bottom w:val="single" w:sz="4" w:space="0" w:color="auto"/>
              <w:right w:val="single" w:sz="4" w:space="0" w:color="auto"/>
            </w:tcBorders>
          </w:tcPr>
          <w:p w:rsidR="00E1450C" w:rsidRPr="00A51EC4" w:rsidRDefault="00E1450C" w:rsidP="00E1450C">
            <w:pPr>
              <w:jc w:val="center"/>
              <w:rPr>
                <w:sz w:val="26"/>
                <w:szCs w:val="26"/>
              </w:rPr>
            </w:pPr>
            <w:r>
              <w:rPr>
                <w:sz w:val="26"/>
                <w:szCs w:val="26"/>
              </w:rPr>
              <w:t>1</w:t>
            </w:r>
          </w:p>
        </w:tc>
        <w:tc>
          <w:tcPr>
            <w:tcW w:w="3403" w:type="dxa"/>
            <w:tcBorders>
              <w:top w:val="single" w:sz="4" w:space="0" w:color="auto"/>
              <w:left w:val="single" w:sz="4" w:space="0" w:color="auto"/>
              <w:bottom w:val="single" w:sz="4" w:space="0" w:color="auto"/>
              <w:right w:val="single" w:sz="4" w:space="0" w:color="auto"/>
            </w:tcBorders>
          </w:tcPr>
          <w:p w:rsidR="00E1450C" w:rsidRPr="00EF7343" w:rsidRDefault="00E1450C" w:rsidP="00E1450C">
            <w:pPr>
              <w:pStyle w:val="af1"/>
              <w:rPr>
                <w:sz w:val="26"/>
                <w:szCs w:val="26"/>
              </w:rPr>
            </w:pPr>
            <w:r w:rsidRPr="00EF7343">
              <w:rPr>
                <w:sz w:val="26"/>
                <w:szCs w:val="26"/>
              </w:rPr>
              <w:t xml:space="preserve">Нежилое помещение– Российская Федерация, Тверская область, город Тверь, улица </w:t>
            </w:r>
            <w:proofErr w:type="gramStart"/>
            <w:r>
              <w:rPr>
                <w:sz w:val="26"/>
                <w:szCs w:val="26"/>
              </w:rPr>
              <w:t>Учительская</w:t>
            </w:r>
            <w:r w:rsidRPr="00EF7343">
              <w:rPr>
                <w:sz w:val="26"/>
                <w:szCs w:val="26"/>
              </w:rPr>
              <w:t>,  дом</w:t>
            </w:r>
            <w:proofErr w:type="gramEnd"/>
            <w:r w:rsidRPr="00EF7343">
              <w:rPr>
                <w:sz w:val="26"/>
                <w:szCs w:val="26"/>
              </w:rPr>
              <w:t xml:space="preserve"> 1</w:t>
            </w:r>
            <w:r>
              <w:rPr>
                <w:sz w:val="26"/>
                <w:szCs w:val="26"/>
              </w:rPr>
              <w:t xml:space="preserve">3/34 </w:t>
            </w:r>
            <w:r w:rsidRPr="00EF7343">
              <w:rPr>
                <w:sz w:val="26"/>
                <w:szCs w:val="26"/>
              </w:rPr>
              <w:t>(</w:t>
            </w:r>
            <w:r>
              <w:rPr>
                <w:sz w:val="26"/>
                <w:szCs w:val="26"/>
              </w:rPr>
              <w:t xml:space="preserve">нежилое помещение </w:t>
            </w:r>
            <w:r>
              <w:rPr>
                <w:sz w:val="26"/>
                <w:szCs w:val="26"/>
                <w:lang w:val="en-US"/>
              </w:rPr>
              <w:t>II</w:t>
            </w:r>
            <w:r>
              <w:rPr>
                <w:sz w:val="26"/>
                <w:szCs w:val="26"/>
              </w:rPr>
              <w:t xml:space="preserve">, </w:t>
            </w:r>
            <w:r w:rsidRPr="00EF7343">
              <w:rPr>
                <w:sz w:val="26"/>
                <w:szCs w:val="26"/>
              </w:rPr>
              <w:t xml:space="preserve">1 этаж, к. </w:t>
            </w:r>
            <w:r>
              <w:rPr>
                <w:sz w:val="26"/>
                <w:szCs w:val="26"/>
              </w:rPr>
              <w:t>23</w:t>
            </w:r>
            <w:r w:rsidRPr="00EF7343">
              <w:rPr>
                <w:sz w:val="26"/>
                <w:szCs w:val="26"/>
              </w:rPr>
              <w:t xml:space="preserve">) </w:t>
            </w:r>
            <w:r w:rsidRPr="00EF7343">
              <w:rPr>
                <w:rStyle w:val="apple-style-span"/>
              </w:rPr>
              <w:t>69:40:0</w:t>
            </w:r>
            <w:r>
              <w:rPr>
                <w:rStyle w:val="apple-style-span"/>
              </w:rPr>
              <w:t>4</w:t>
            </w:r>
            <w:r w:rsidRPr="00EF7343">
              <w:rPr>
                <w:rStyle w:val="apple-style-span"/>
              </w:rPr>
              <w:t>000</w:t>
            </w:r>
            <w:r>
              <w:rPr>
                <w:rStyle w:val="apple-style-span"/>
              </w:rPr>
              <w:t>20</w:t>
            </w:r>
            <w:r w:rsidRPr="00EF7343">
              <w:rPr>
                <w:rStyle w:val="apple-style-span"/>
              </w:rPr>
              <w:t>:</w:t>
            </w:r>
            <w:r>
              <w:rPr>
                <w:rStyle w:val="apple-style-span"/>
              </w:rPr>
              <w:t>65</w:t>
            </w:r>
          </w:p>
        </w:tc>
        <w:tc>
          <w:tcPr>
            <w:tcW w:w="851" w:type="dxa"/>
            <w:tcBorders>
              <w:top w:val="single" w:sz="4" w:space="0" w:color="auto"/>
              <w:left w:val="single" w:sz="4" w:space="0" w:color="auto"/>
              <w:bottom w:val="single" w:sz="4" w:space="0" w:color="auto"/>
              <w:right w:val="single" w:sz="4" w:space="0" w:color="auto"/>
            </w:tcBorders>
          </w:tcPr>
          <w:p w:rsidR="00E1450C" w:rsidRPr="00A51EC4" w:rsidRDefault="00E1450C" w:rsidP="00E1450C">
            <w:pPr>
              <w:pStyle w:val="af1"/>
              <w:rPr>
                <w:sz w:val="26"/>
                <w:szCs w:val="26"/>
              </w:rPr>
            </w:pPr>
          </w:p>
          <w:p w:rsidR="00E1450C" w:rsidRPr="00A51EC4" w:rsidRDefault="00E1450C" w:rsidP="00E1450C">
            <w:pPr>
              <w:pStyle w:val="af1"/>
              <w:rPr>
                <w:sz w:val="26"/>
                <w:szCs w:val="26"/>
              </w:rPr>
            </w:pPr>
            <w:r>
              <w:rPr>
                <w:sz w:val="26"/>
                <w:szCs w:val="26"/>
              </w:rPr>
              <w:t>38,1</w:t>
            </w:r>
          </w:p>
          <w:p w:rsidR="00E1450C" w:rsidRPr="00A51EC4" w:rsidRDefault="00E1450C" w:rsidP="00E1450C">
            <w:pPr>
              <w:pStyle w:val="af1"/>
              <w:rPr>
                <w:sz w:val="26"/>
                <w:szCs w:val="26"/>
              </w:rPr>
            </w:pPr>
          </w:p>
        </w:tc>
        <w:tc>
          <w:tcPr>
            <w:tcW w:w="708" w:type="dxa"/>
            <w:tcBorders>
              <w:top w:val="single" w:sz="4" w:space="0" w:color="auto"/>
              <w:left w:val="single" w:sz="4" w:space="0" w:color="auto"/>
              <w:bottom w:val="single" w:sz="4" w:space="0" w:color="auto"/>
              <w:right w:val="single" w:sz="4" w:space="0" w:color="auto"/>
            </w:tcBorders>
          </w:tcPr>
          <w:p w:rsidR="00E1450C" w:rsidRPr="00A51EC4" w:rsidRDefault="00E1450C" w:rsidP="00E1450C">
            <w:pPr>
              <w:pStyle w:val="af1"/>
              <w:rPr>
                <w:sz w:val="26"/>
                <w:szCs w:val="26"/>
              </w:rPr>
            </w:pPr>
          </w:p>
          <w:p w:rsidR="00E1450C" w:rsidRPr="00A51EC4" w:rsidRDefault="00E1450C" w:rsidP="00E1450C">
            <w:pPr>
              <w:pStyle w:val="af1"/>
              <w:rPr>
                <w:sz w:val="26"/>
                <w:szCs w:val="26"/>
              </w:rPr>
            </w:pPr>
            <w:r w:rsidRPr="00A51EC4">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E1450C" w:rsidRDefault="00E1450C" w:rsidP="00E1450C">
            <w:pPr>
              <w:pStyle w:val="af1"/>
              <w:rPr>
                <w:sz w:val="26"/>
                <w:szCs w:val="26"/>
              </w:rPr>
            </w:pPr>
          </w:p>
          <w:p w:rsidR="00E1450C" w:rsidRPr="00A51EC4" w:rsidRDefault="00E1450C" w:rsidP="00E1450C">
            <w:pPr>
              <w:pStyle w:val="af1"/>
              <w:rPr>
                <w:sz w:val="26"/>
                <w:szCs w:val="26"/>
              </w:rPr>
            </w:pPr>
            <w:r>
              <w:rPr>
                <w:sz w:val="26"/>
                <w:szCs w:val="26"/>
              </w:rPr>
              <w:t>14012,64</w:t>
            </w:r>
          </w:p>
          <w:p w:rsidR="00E1450C" w:rsidRPr="00A51EC4" w:rsidRDefault="00E1450C" w:rsidP="00E1450C">
            <w:pPr>
              <w:pStyle w:val="af1"/>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E1450C" w:rsidRDefault="00E1450C" w:rsidP="00E1450C">
            <w:pPr>
              <w:rPr>
                <w:sz w:val="26"/>
                <w:szCs w:val="26"/>
              </w:rPr>
            </w:pPr>
          </w:p>
          <w:p w:rsidR="00E1450C" w:rsidRPr="00AA2FDC" w:rsidRDefault="00E1450C" w:rsidP="00E1450C">
            <w:pPr>
              <w:rPr>
                <w:sz w:val="26"/>
                <w:szCs w:val="26"/>
              </w:rPr>
            </w:pPr>
            <w:r>
              <w:rPr>
                <w:sz w:val="26"/>
                <w:szCs w:val="26"/>
              </w:rPr>
              <w:t>700,63</w:t>
            </w:r>
          </w:p>
        </w:tc>
        <w:tc>
          <w:tcPr>
            <w:tcW w:w="1985" w:type="dxa"/>
            <w:tcBorders>
              <w:top w:val="single" w:sz="4" w:space="0" w:color="auto"/>
              <w:left w:val="single" w:sz="4" w:space="0" w:color="auto"/>
              <w:bottom w:val="single" w:sz="4" w:space="0" w:color="auto"/>
              <w:right w:val="single" w:sz="4" w:space="0" w:color="auto"/>
            </w:tcBorders>
          </w:tcPr>
          <w:p w:rsidR="00E1450C" w:rsidRDefault="00E1450C" w:rsidP="00E1450C">
            <w:r w:rsidRPr="0088183A">
              <w:t>без ограничений по видам деятельности, соответствующим Са</w:t>
            </w:r>
            <w:r>
              <w:t>нП</w:t>
            </w:r>
            <w:r w:rsidRPr="0088183A">
              <w:t>и</w:t>
            </w:r>
            <w:r>
              <w:t>Н</w:t>
            </w:r>
            <w:r w:rsidRPr="0088183A">
              <w:t>, за исключением интернет-клуба, интернет-кафе</w:t>
            </w:r>
          </w:p>
          <w:p w:rsidR="00E1450C" w:rsidRPr="0088183A" w:rsidRDefault="00E1450C" w:rsidP="00E1450C"/>
        </w:tc>
        <w:tc>
          <w:tcPr>
            <w:tcW w:w="992" w:type="dxa"/>
            <w:tcBorders>
              <w:top w:val="single" w:sz="4" w:space="0" w:color="auto"/>
              <w:left w:val="single" w:sz="4" w:space="0" w:color="auto"/>
              <w:bottom w:val="single" w:sz="4" w:space="0" w:color="auto"/>
              <w:right w:val="single" w:sz="4" w:space="0" w:color="auto"/>
            </w:tcBorders>
          </w:tcPr>
          <w:p w:rsidR="00E1450C" w:rsidRDefault="00E1450C" w:rsidP="00E1450C">
            <w:pPr>
              <w:pStyle w:val="af1"/>
            </w:pPr>
          </w:p>
          <w:p w:rsidR="00E1450C" w:rsidRPr="00B249F3" w:rsidRDefault="00E1450C" w:rsidP="00E1450C">
            <w:pPr>
              <w:pStyle w:val="af1"/>
            </w:pPr>
            <w:r>
              <w:t>16 815</w:t>
            </w:r>
          </w:p>
        </w:tc>
        <w:tc>
          <w:tcPr>
            <w:tcW w:w="1418" w:type="dxa"/>
            <w:tcBorders>
              <w:top w:val="single" w:sz="4" w:space="0" w:color="auto"/>
              <w:left w:val="single" w:sz="4" w:space="0" w:color="auto"/>
              <w:bottom w:val="single" w:sz="4" w:space="0" w:color="auto"/>
              <w:right w:val="single" w:sz="4" w:space="0" w:color="auto"/>
            </w:tcBorders>
            <w:textDirection w:val="btLr"/>
          </w:tcPr>
          <w:p w:rsidR="00E1450C" w:rsidRPr="004832FD" w:rsidRDefault="00E1450C" w:rsidP="00E1450C">
            <w:pPr>
              <w:pStyle w:val="af1"/>
            </w:pPr>
            <w:r w:rsidRPr="004832FD">
              <w:t>Удовлетворительное</w:t>
            </w:r>
          </w:p>
        </w:tc>
      </w:tr>
    </w:tbl>
    <w:p w:rsidR="007E1F13" w:rsidRDefault="007E1F13" w:rsidP="00D83ADE">
      <w:pPr>
        <w:spacing w:line="216" w:lineRule="auto"/>
        <w:jc w:val="both"/>
        <w:rPr>
          <w:sz w:val="22"/>
        </w:rPr>
      </w:pP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82F9D" w:rsidRDefault="00082F9D" w:rsidP="00F6450E">
      <w:pPr>
        <w:pStyle w:val="af1"/>
        <w:jc w:val="center"/>
        <w:rPr>
          <w:b/>
          <w:spacing w:val="-8"/>
        </w:rPr>
      </w:pP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.2.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w:t>
      </w:r>
      <w:r w:rsidR="00EF1DBD" w:rsidRPr="00F55B92">
        <w:lastRenderedPageBreak/>
        <w:t xml:space="preserve">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Непроведение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082F9D" w:rsidRPr="00F55B92" w:rsidRDefault="00082F9D" w:rsidP="00D9747F">
      <w:pPr>
        <w:widowControl w:val="0"/>
        <w:spacing w:after="120"/>
        <w:ind w:firstLine="720"/>
        <w:jc w:val="center"/>
        <w:rPr>
          <w:rFonts w:cs="Times New Roman"/>
          <w:b/>
          <w:szCs w:val="24"/>
        </w:rPr>
      </w:pP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 xml:space="preserve">.1 Участие в аукционе вправе принимать заявители, зарегистрированные в государственной системе «Официальный сайт РФ в информационно- телекоммуникационной системе «Интернет» </w:t>
      </w:r>
      <w:hyperlink r:id="rId9"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r w:rsidR="00EF1DBD" w:rsidRPr="00F55B92">
          <w:rPr>
            <w:rStyle w:val="a3"/>
            <w:rFonts w:cs="Times New Roman"/>
            <w:szCs w:val="24"/>
            <w:lang w:val="en-US"/>
          </w:rPr>
          <w:t>gov</w:t>
        </w:r>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E1450C" w:rsidRPr="00E1450C">
        <w:rPr>
          <w:rFonts w:cs="Times New Roman"/>
          <w:szCs w:val="24"/>
        </w:rPr>
        <w:t>20</w:t>
      </w:r>
      <w:r w:rsidR="007E1F13">
        <w:rPr>
          <w:rFonts w:cs="Times New Roman"/>
          <w:szCs w:val="24"/>
        </w:rPr>
        <w:t>.</w:t>
      </w:r>
      <w:r w:rsidR="001577FA" w:rsidRPr="001577FA">
        <w:rPr>
          <w:rFonts w:cs="Times New Roman"/>
          <w:szCs w:val="24"/>
        </w:rPr>
        <w:t>0</w:t>
      </w:r>
      <w:r w:rsidR="00D04EB5">
        <w:rPr>
          <w:rFonts w:cs="Times New Roman"/>
          <w:szCs w:val="24"/>
        </w:rPr>
        <w:t>5</w:t>
      </w:r>
      <w:r w:rsidR="00056F59">
        <w:rPr>
          <w:rFonts w:cs="Times New Roman"/>
          <w:szCs w:val="24"/>
        </w:rPr>
        <w:t>.</w:t>
      </w:r>
      <w:r w:rsidR="000B0B9E">
        <w:rPr>
          <w:rFonts w:cs="Times New Roman"/>
          <w:szCs w:val="24"/>
        </w:rPr>
        <w:t>202</w:t>
      </w:r>
      <w:r w:rsidR="001577FA" w:rsidRPr="001577FA">
        <w:rPr>
          <w:rFonts w:cs="Times New Roman"/>
          <w:szCs w:val="24"/>
        </w:rPr>
        <w:t>6</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 документов, 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физического лица, в том числе зарегистрированного в качестве </w:t>
      </w:r>
      <w:r w:rsidR="00147879" w:rsidRPr="00F55B92">
        <w:rPr>
          <w:rFonts w:cs="Times New Roman"/>
          <w:bCs/>
          <w:szCs w:val="24"/>
        </w:rPr>
        <w:lastRenderedPageBreak/>
        <w:t>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0"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001C79EF">
        <w:rPr>
          <w:rFonts w:cs="Times New Roman"/>
          <w:szCs w:val="24"/>
        </w:rPr>
        <w:t xml:space="preserve"> </w:t>
      </w:r>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565B4" w:rsidRPr="008D6572" w:rsidRDefault="003565B4" w:rsidP="007F0ACD">
      <w:pPr>
        <w:widowControl w:val="0"/>
        <w:shd w:val="clear" w:color="auto" w:fill="FFFFFF"/>
        <w:spacing w:after="120"/>
        <w:ind w:firstLine="720"/>
        <w:jc w:val="center"/>
        <w:rPr>
          <w:rFonts w:cs="Times New Roman"/>
          <w:b/>
          <w:szCs w:val="24"/>
        </w:rPr>
      </w:pPr>
    </w:p>
    <w:p w:rsidR="003565B4" w:rsidRPr="008D6572" w:rsidRDefault="003565B4" w:rsidP="007F0ACD">
      <w:pPr>
        <w:widowControl w:val="0"/>
        <w:shd w:val="clear" w:color="auto" w:fill="FFFFFF"/>
        <w:spacing w:after="120"/>
        <w:ind w:firstLine="720"/>
        <w:jc w:val="center"/>
        <w:rPr>
          <w:rFonts w:cs="Times New Roman"/>
          <w:b/>
          <w:szCs w:val="24"/>
        </w:rPr>
      </w:pP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lastRenderedPageBreak/>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 xml:space="preserve">Претендент осуществляет перечисление денежных средств в сумме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1577FA" w:rsidRPr="001577FA">
        <w:rPr>
          <w:rFonts w:eastAsia="Calibri"/>
        </w:rPr>
        <w:t>6</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E1450C" w:rsidRPr="00E1450C">
        <w:rPr>
          <w:rFonts w:cs="Times New Roman"/>
          <w:szCs w:val="24"/>
        </w:rPr>
        <w:t>10</w:t>
      </w:r>
      <w:r w:rsidR="005968B8">
        <w:rPr>
          <w:rFonts w:cs="Times New Roman"/>
          <w:szCs w:val="24"/>
        </w:rPr>
        <w:t>.0</w:t>
      </w:r>
      <w:r w:rsidR="00D04EB5">
        <w:rPr>
          <w:rFonts w:cs="Times New Roman"/>
          <w:szCs w:val="24"/>
        </w:rPr>
        <w:t>4</w:t>
      </w:r>
      <w:r w:rsidR="00334E8B">
        <w:rPr>
          <w:rFonts w:cs="Times New Roman"/>
          <w:szCs w:val="24"/>
        </w:rPr>
        <w:t>.202</w:t>
      </w:r>
      <w:r w:rsidR="005968B8">
        <w:rPr>
          <w:rFonts w:cs="Times New Roman"/>
          <w:szCs w:val="24"/>
        </w:rPr>
        <w:t>6</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E1450C" w:rsidRPr="00E1450C">
        <w:rPr>
          <w:rFonts w:cs="Times New Roman"/>
          <w:szCs w:val="24"/>
        </w:rPr>
        <w:t>20</w:t>
      </w:r>
      <w:r w:rsidR="00334E8B" w:rsidRPr="00F55B92">
        <w:rPr>
          <w:rFonts w:cs="Times New Roman"/>
          <w:szCs w:val="24"/>
        </w:rPr>
        <w:t>.</w:t>
      </w:r>
      <w:r w:rsidR="001577FA" w:rsidRPr="001577FA">
        <w:rPr>
          <w:rFonts w:cs="Times New Roman"/>
          <w:szCs w:val="24"/>
        </w:rPr>
        <w:t>0</w:t>
      </w:r>
      <w:r w:rsidR="00D04EB5">
        <w:rPr>
          <w:rFonts w:cs="Times New Roman"/>
          <w:szCs w:val="24"/>
        </w:rPr>
        <w:t>5</w:t>
      </w:r>
      <w:r w:rsidR="00334E8B">
        <w:rPr>
          <w:rFonts w:cs="Times New Roman"/>
          <w:szCs w:val="24"/>
        </w:rPr>
        <w:t>.202</w:t>
      </w:r>
      <w:r w:rsidR="001577FA" w:rsidRPr="001577FA">
        <w:rPr>
          <w:rFonts w:cs="Times New Roman"/>
          <w:szCs w:val="24"/>
        </w:rPr>
        <w:t>6</w:t>
      </w:r>
      <w:r w:rsidR="00334E8B" w:rsidRPr="00F55B92">
        <w:rPr>
          <w:rFonts w:cs="Times New Roman"/>
          <w:szCs w:val="24"/>
        </w:rPr>
        <w:t xml:space="preserve"> </w:t>
      </w:r>
      <w:r w:rsidR="004E5D85" w:rsidRPr="00F55B92">
        <w:rPr>
          <w:rFonts w:cs="Times New Roman"/>
          <w:szCs w:val="24"/>
        </w:rPr>
        <w:t xml:space="preserve">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подачи </w:t>
      </w:r>
      <w:r w:rsidR="004E5D85" w:rsidRPr="00F55B92">
        <w:rPr>
          <w:rFonts w:cs="Times New Roman"/>
          <w:szCs w:val="24"/>
        </w:rPr>
        <w:t xml:space="preserve">заявок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E1450C" w:rsidRPr="00E1450C">
        <w:rPr>
          <w:rFonts w:cs="Times New Roman"/>
          <w:szCs w:val="24"/>
        </w:rPr>
        <w:t>20</w:t>
      </w:r>
      <w:r w:rsidR="001577FA" w:rsidRPr="00F55B92">
        <w:rPr>
          <w:rFonts w:cs="Times New Roman"/>
          <w:szCs w:val="24"/>
        </w:rPr>
        <w:t>.</w:t>
      </w:r>
      <w:r w:rsidR="001577FA" w:rsidRPr="001577FA">
        <w:rPr>
          <w:rFonts w:cs="Times New Roman"/>
          <w:szCs w:val="24"/>
        </w:rPr>
        <w:t>0</w:t>
      </w:r>
      <w:r w:rsidR="00D04EB5">
        <w:rPr>
          <w:rFonts w:cs="Times New Roman"/>
          <w:szCs w:val="24"/>
        </w:rPr>
        <w:t>5</w:t>
      </w:r>
      <w:r w:rsidR="001577FA">
        <w:rPr>
          <w:rFonts w:cs="Times New Roman"/>
          <w:szCs w:val="24"/>
        </w:rPr>
        <w:t>.202</w:t>
      </w:r>
      <w:r w:rsidR="001577FA" w:rsidRPr="001577FA">
        <w:rPr>
          <w:rFonts w:cs="Times New Roman"/>
          <w:szCs w:val="24"/>
        </w:rPr>
        <w:t>6</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 xml:space="preserve">-00 </w:t>
      </w:r>
      <w:r w:rsidR="00E1450C" w:rsidRPr="00E1450C">
        <w:rPr>
          <w:rFonts w:cs="Times New Roman"/>
          <w:szCs w:val="24"/>
        </w:rPr>
        <w:t>20</w:t>
      </w:r>
      <w:r w:rsidR="001577FA" w:rsidRPr="00F55B92">
        <w:rPr>
          <w:rFonts w:cs="Times New Roman"/>
          <w:szCs w:val="24"/>
        </w:rPr>
        <w:t>.</w:t>
      </w:r>
      <w:r w:rsidR="001577FA" w:rsidRPr="001577FA">
        <w:rPr>
          <w:rFonts w:cs="Times New Roman"/>
          <w:szCs w:val="24"/>
        </w:rPr>
        <w:t>0</w:t>
      </w:r>
      <w:r w:rsidR="00D04EB5">
        <w:rPr>
          <w:rFonts w:cs="Times New Roman"/>
          <w:szCs w:val="24"/>
        </w:rPr>
        <w:t>5</w:t>
      </w:r>
      <w:r w:rsidR="001577FA">
        <w:rPr>
          <w:rFonts w:cs="Times New Roman"/>
          <w:szCs w:val="24"/>
        </w:rPr>
        <w:t>.202</w:t>
      </w:r>
      <w:r w:rsidR="001577FA" w:rsidRPr="001577FA">
        <w:rPr>
          <w:rFonts w:cs="Times New Roman"/>
          <w:szCs w:val="24"/>
        </w:rPr>
        <w:t>6</w:t>
      </w:r>
      <w:r w:rsidR="00B53359" w:rsidRPr="00F55B92">
        <w:rPr>
          <w:rFonts w:cs="Times New Roman"/>
          <w:szCs w:val="24"/>
        </w:rPr>
        <w:t xml:space="preserve">, </w:t>
      </w:r>
      <w:r w:rsidRPr="00F55B92">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lastRenderedPageBreak/>
        <w:t xml:space="preserve">           "Шаг аукциона" устанавливается в размере пяти процентов начальной (минимальной) цены договора (цены лота), указанной в извещении о проведении аукциона.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w:t>
      </w:r>
      <w:proofErr w:type="gramStart"/>
      <w:r w:rsidR="00B27D88" w:rsidRPr="004155E5">
        <w:rPr>
          <w:rFonts w:cs="Times New Roman"/>
          <w:szCs w:val="24"/>
        </w:rPr>
        <w:t>)</w:t>
      </w:r>
      <w:r w:rsidR="004E5D85" w:rsidRPr="004155E5">
        <w:rPr>
          <w:rFonts w:cs="Times New Roman"/>
          <w:szCs w:val="24"/>
        </w:rPr>
        <w:t>:</w:t>
      </w:r>
      <w:r w:rsidR="007A3150" w:rsidRPr="004155E5">
        <w:rPr>
          <w:rFonts w:cs="Times New Roman"/>
          <w:szCs w:val="24"/>
        </w:rPr>
        <w:t xml:space="preserve"> </w:t>
      </w:r>
      <w:r w:rsidR="001269E1">
        <w:rPr>
          <w:rFonts w:cs="Times New Roman"/>
          <w:szCs w:val="24"/>
        </w:rPr>
        <w:t xml:space="preserve"> </w:t>
      </w:r>
      <w:r w:rsidR="00E1450C" w:rsidRPr="00E1450C">
        <w:rPr>
          <w:rFonts w:cs="Times New Roman"/>
          <w:szCs w:val="24"/>
        </w:rPr>
        <w:t>23</w:t>
      </w:r>
      <w:r w:rsidR="00005ECB" w:rsidRPr="004155E5">
        <w:rPr>
          <w:rFonts w:cs="Times New Roman"/>
          <w:szCs w:val="24"/>
        </w:rPr>
        <w:t>.</w:t>
      </w:r>
      <w:r w:rsidR="004839C8">
        <w:rPr>
          <w:rFonts w:cs="Times New Roman"/>
          <w:szCs w:val="24"/>
        </w:rPr>
        <w:t>0</w:t>
      </w:r>
      <w:r w:rsidR="00284AAB">
        <w:rPr>
          <w:rFonts w:cs="Times New Roman"/>
          <w:szCs w:val="24"/>
        </w:rPr>
        <w:t>4</w:t>
      </w:r>
      <w:r w:rsidR="004402DA" w:rsidRPr="004155E5">
        <w:rPr>
          <w:rFonts w:cs="Times New Roman"/>
          <w:szCs w:val="24"/>
        </w:rPr>
        <w:t>.20</w:t>
      </w:r>
      <w:r w:rsidR="00E30450" w:rsidRPr="004155E5">
        <w:rPr>
          <w:rFonts w:cs="Times New Roman"/>
          <w:szCs w:val="24"/>
        </w:rPr>
        <w:t>2</w:t>
      </w:r>
      <w:r w:rsidR="004839C8">
        <w:rPr>
          <w:rFonts w:cs="Times New Roman"/>
          <w:szCs w:val="24"/>
        </w:rPr>
        <w:t>6</w:t>
      </w:r>
      <w:proofErr w:type="gramEnd"/>
      <w:r w:rsidR="004402DA" w:rsidRPr="004155E5">
        <w:rPr>
          <w:rFonts w:cs="Times New Roman"/>
          <w:szCs w:val="24"/>
        </w:rPr>
        <w:t xml:space="preserve">, </w:t>
      </w:r>
      <w:r w:rsidR="00D04EB5">
        <w:rPr>
          <w:rFonts w:cs="Times New Roman"/>
          <w:szCs w:val="24"/>
        </w:rPr>
        <w:t>2</w:t>
      </w:r>
      <w:r w:rsidR="00E1450C" w:rsidRPr="00E1450C">
        <w:rPr>
          <w:rFonts w:cs="Times New Roman"/>
          <w:szCs w:val="24"/>
        </w:rPr>
        <w:t>9</w:t>
      </w:r>
      <w:r w:rsidR="007E1F13">
        <w:rPr>
          <w:rFonts w:cs="Times New Roman"/>
          <w:szCs w:val="24"/>
        </w:rPr>
        <w:t>.</w:t>
      </w:r>
      <w:r w:rsidR="004839C8">
        <w:rPr>
          <w:rFonts w:cs="Times New Roman"/>
          <w:szCs w:val="24"/>
        </w:rPr>
        <w:t>0</w:t>
      </w:r>
      <w:r w:rsidR="00284AAB">
        <w:rPr>
          <w:rFonts w:cs="Times New Roman"/>
          <w:szCs w:val="24"/>
        </w:rPr>
        <w:t>4</w:t>
      </w:r>
      <w:r w:rsidR="004402DA" w:rsidRPr="004155E5">
        <w:rPr>
          <w:rFonts w:cs="Times New Roman"/>
          <w:szCs w:val="24"/>
        </w:rPr>
        <w:t>.20</w:t>
      </w:r>
      <w:r w:rsidR="00E30450" w:rsidRPr="004155E5">
        <w:rPr>
          <w:rFonts w:cs="Times New Roman"/>
          <w:szCs w:val="24"/>
        </w:rPr>
        <w:t>2</w:t>
      </w:r>
      <w:r w:rsidR="004839C8">
        <w:rPr>
          <w:rFonts w:cs="Times New Roman"/>
          <w:szCs w:val="24"/>
        </w:rPr>
        <w:t>6</w:t>
      </w:r>
      <w:r w:rsidR="00720DCF" w:rsidRPr="004155E5">
        <w:rPr>
          <w:rFonts w:cs="Times New Roman"/>
          <w:szCs w:val="24"/>
        </w:rPr>
        <w:t xml:space="preserve">, </w:t>
      </w:r>
      <w:r w:rsidR="00E1450C" w:rsidRPr="00E1450C">
        <w:rPr>
          <w:rFonts w:cs="Times New Roman"/>
          <w:szCs w:val="24"/>
        </w:rPr>
        <w:t>13</w:t>
      </w:r>
      <w:r w:rsidR="000B0B9E">
        <w:rPr>
          <w:rFonts w:cs="Times New Roman"/>
          <w:szCs w:val="24"/>
        </w:rPr>
        <w:t>.</w:t>
      </w:r>
      <w:r w:rsidR="001577FA">
        <w:rPr>
          <w:rFonts w:cs="Times New Roman"/>
          <w:szCs w:val="24"/>
        </w:rPr>
        <w:t>0</w:t>
      </w:r>
      <w:r w:rsidR="00D04EB5">
        <w:rPr>
          <w:rFonts w:cs="Times New Roman"/>
          <w:szCs w:val="24"/>
        </w:rPr>
        <w:t>5</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1577FA">
        <w:rPr>
          <w:rFonts w:cs="Times New Roman"/>
          <w:szCs w:val="24"/>
        </w:rPr>
        <w:t>6</w:t>
      </w:r>
      <w:r w:rsidR="00B93440" w:rsidRPr="004155E5">
        <w:rPr>
          <w:rFonts w:cs="Times New Roman"/>
          <w:szCs w:val="24"/>
        </w:rPr>
        <w:t>.</w:t>
      </w:r>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855EF1" w:rsidRDefault="00165C8D" w:rsidP="00855EF1">
      <w:pPr>
        <w:widowControl w:val="0"/>
        <w:jc w:val="both"/>
        <w:rPr>
          <w:sz w:val="22"/>
        </w:rPr>
      </w:pPr>
      <w:r w:rsidRPr="0031650D">
        <w:rPr>
          <w:rFonts w:cs="Times New Roman"/>
          <w:szCs w:val="24"/>
        </w:rPr>
        <w:t>1</w:t>
      </w:r>
      <w:r>
        <w:rPr>
          <w:rFonts w:cs="Times New Roman"/>
          <w:szCs w:val="24"/>
        </w:rPr>
        <w:t>1</w:t>
      </w:r>
      <w:r w:rsidRPr="0031650D">
        <w:rPr>
          <w:rFonts w:cs="Times New Roman"/>
          <w:szCs w:val="24"/>
        </w:rPr>
        <w:t>-</w:t>
      </w:r>
      <w:r w:rsidR="00082F9D">
        <w:rPr>
          <w:rFonts w:cs="Times New Roman"/>
          <w:szCs w:val="24"/>
        </w:rPr>
        <w:t>0</w:t>
      </w:r>
      <w:r w:rsidRPr="0031650D">
        <w:rPr>
          <w:rFonts w:cs="Times New Roman"/>
          <w:szCs w:val="24"/>
        </w:rPr>
        <w:t>0 – 1</w:t>
      </w:r>
      <w:r w:rsidR="00127E5C">
        <w:rPr>
          <w:rFonts w:cs="Times New Roman"/>
          <w:szCs w:val="24"/>
        </w:rPr>
        <w:t>2</w:t>
      </w:r>
      <w:r w:rsidRPr="0031650D">
        <w:rPr>
          <w:rFonts w:cs="Times New Roman"/>
          <w:szCs w:val="24"/>
        </w:rPr>
        <w:t>-</w:t>
      </w:r>
      <w:r w:rsidR="00855EF1">
        <w:rPr>
          <w:rFonts w:cs="Times New Roman"/>
          <w:szCs w:val="24"/>
        </w:rPr>
        <w:t>0</w:t>
      </w:r>
      <w:r w:rsidRPr="0031650D">
        <w:rPr>
          <w:rFonts w:cs="Times New Roman"/>
          <w:szCs w:val="24"/>
        </w:rPr>
        <w:t xml:space="preserve">0 – г. Тверь, </w:t>
      </w:r>
      <w:r w:rsidR="001C79EF">
        <w:rPr>
          <w:rFonts w:cs="Times New Roman"/>
          <w:szCs w:val="24"/>
        </w:rPr>
        <w:t>улиц</w:t>
      </w:r>
      <w:r w:rsidR="00E1450C">
        <w:rPr>
          <w:rFonts w:cs="Times New Roman"/>
          <w:szCs w:val="24"/>
        </w:rPr>
        <w:t>а Учительская</w:t>
      </w:r>
      <w:r w:rsidRPr="0031650D">
        <w:rPr>
          <w:sz w:val="22"/>
        </w:rPr>
        <w:t xml:space="preserve">, дом </w:t>
      </w:r>
      <w:r w:rsidR="005968B8">
        <w:rPr>
          <w:sz w:val="22"/>
        </w:rPr>
        <w:t>1</w:t>
      </w:r>
      <w:r w:rsidR="00E1450C">
        <w:rPr>
          <w:sz w:val="22"/>
        </w:rPr>
        <w:t>3/34</w:t>
      </w:r>
    </w:p>
    <w:p w:rsidR="00A73538" w:rsidRDefault="00A73538" w:rsidP="00A73538">
      <w:pPr>
        <w:widowControl w:val="0"/>
        <w:jc w:val="both"/>
        <w:rPr>
          <w:sz w:val="22"/>
        </w:rPr>
      </w:pPr>
    </w:p>
    <w:p w:rsidR="00127E5C" w:rsidRDefault="00127E5C"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w:t>
      </w:r>
      <w:proofErr w:type="gramStart"/>
      <w:r w:rsidR="00140E61" w:rsidRPr="00F55B92">
        <w:rPr>
          <w:szCs w:val="24"/>
        </w:rPr>
        <w:t>аукционе  -</w:t>
      </w:r>
      <w:proofErr w:type="gramEnd"/>
      <w:r w:rsidR="00140E61" w:rsidRPr="00F55B92">
        <w:rPr>
          <w:szCs w:val="24"/>
        </w:rPr>
        <w:t xml:space="preserve">  </w:t>
      </w:r>
      <w:r w:rsidR="00F8163E">
        <w:rPr>
          <w:szCs w:val="24"/>
        </w:rPr>
        <w:t>09</w:t>
      </w:r>
      <w:r w:rsidR="00140E61" w:rsidRPr="00F55B92">
        <w:rPr>
          <w:szCs w:val="24"/>
        </w:rPr>
        <w:t xml:space="preserve">-00, </w:t>
      </w:r>
      <w:r w:rsidR="00E1450C">
        <w:rPr>
          <w:szCs w:val="24"/>
        </w:rPr>
        <w:t>20</w:t>
      </w:r>
      <w:r w:rsidR="00334E8B" w:rsidRPr="00F55B92">
        <w:rPr>
          <w:szCs w:val="24"/>
        </w:rPr>
        <w:t>.</w:t>
      </w:r>
      <w:r w:rsidR="004839C8">
        <w:rPr>
          <w:szCs w:val="24"/>
        </w:rPr>
        <w:t>0</w:t>
      </w:r>
      <w:r w:rsidR="00D04EB5">
        <w:rPr>
          <w:szCs w:val="24"/>
        </w:rPr>
        <w:t>5</w:t>
      </w:r>
      <w:r w:rsidR="00334E8B">
        <w:rPr>
          <w:szCs w:val="24"/>
        </w:rPr>
        <w:t>.202</w:t>
      </w:r>
      <w:r w:rsidR="004839C8">
        <w:rPr>
          <w:szCs w:val="24"/>
        </w:rPr>
        <w:t>6</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E1450C">
        <w:rPr>
          <w:rFonts w:cs="Times New Roman"/>
          <w:szCs w:val="24"/>
        </w:rPr>
        <w:t>20</w:t>
      </w:r>
      <w:r w:rsidR="00334E8B" w:rsidRPr="00F55B92">
        <w:rPr>
          <w:rFonts w:cs="Times New Roman"/>
          <w:szCs w:val="24"/>
        </w:rPr>
        <w:t>.</w:t>
      </w:r>
      <w:r w:rsidR="001577FA">
        <w:rPr>
          <w:rFonts w:cs="Times New Roman"/>
          <w:szCs w:val="24"/>
        </w:rPr>
        <w:t>0</w:t>
      </w:r>
      <w:r w:rsidR="00D04EB5">
        <w:rPr>
          <w:rFonts w:cs="Times New Roman"/>
          <w:szCs w:val="24"/>
        </w:rPr>
        <w:t>5</w:t>
      </w:r>
      <w:r w:rsidR="00334E8B">
        <w:rPr>
          <w:rFonts w:cs="Times New Roman"/>
          <w:szCs w:val="24"/>
        </w:rPr>
        <w:t>.202</w:t>
      </w:r>
      <w:r w:rsidR="001577FA">
        <w:rPr>
          <w:rFonts w:cs="Times New Roman"/>
          <w:szCs w:val="24"/>
        </w:rPr>
        <w:t>6</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1">
        <w:r w:rsidR="00140E61" w:rsidRPr="00F55B92">
          <w:rPr>
            <w:color w:val="0000FF"/>
          </w:rPr>
          <w:t>частями 3</w:t>
        </w:r>
      </w:hyperlink>
      <w:r w:rsidR="00140E61" w:rsidRPr="00F55B92">
        <w:t xml:space="preserve"> и </w:t>
      </w:r>
      <w:hyperlink r:id="rId12">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3">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lastRenderedPageBreak/>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4">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10.6.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об отказе в допуске к участию в аукционе с указанием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E1450C">
        <w:rPr>
          <w:rFonts w:cs="Times New Roman"/>
          <w:szCs w:val="24"/>
        </w:rPr>
        <w:t>21</w:t>
      </w:r>
      <w:r w:rsidR="00334E8B" w:rsidRPr="00F55B92">
        <w:rPr>
          <w:rFonts w:cs="Times New Roman"/>
          <w:szCs w:val="24"/>
        </w:rPr>
        <w:t>.</w:t>
      </w:r>
      <w:r w:rsidR="001577FA">
        <w:rPr>
          <w:rFonts w:cs="Times New Roman"/>
          <w:szCs w:val="24"/>
        </w:rPr>
        <w:t>0</w:t>
      </w:r>
      <w:r w:rsidR="00D04EB5">
        <w:rPr>
          <w:rFonts w:cs="Times New Roman"/>
          <w:szCs w:val="24"/>
        </w:rPr>
        <w:t>5</w:t>
      </w:r>
      <w:r w:rsidR="00334E8B">
        <w:rPr>
          <w:rFonts w:cs="Times New Roman"/>
          <w:szCs w:val="24"/>
        </w:rPr>
        <w:t>.202</w:t>
      </w:r>
      <w:r w:rsidR="001577FA">
        <w:rPr>
          <w:rFonts w:cs="Times New Roman"/>
          <w:szCs w:val="24"/>
        </w:rPr>
        <w:t>6</w:t>
      </w:r>
      <w:r w:rsidR="00334E8B" w:rsidRPr="00F55B92">
        <w:rPr>
          <w:rFonts w:cs="Times New Roman"/>
          <w:szCs w:val="24"/>
        </w:rPr>
        <w:t xml:space="preserve"> </w:t>
      </w:r>
      <w:proofErr w:type="gramStart"/>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proofErr w:type="gramEnd"/>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 xml:space="preserve">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lastRenderedPageBreak/>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 xml:space="preserve">не ранее чем через </w:t>
      </w:r>
      <w:r w:rsidR="000C63CB" w:rsidRPr="00F55B92">
        <w:rPr>
          <w:rFonts w:cs="Times New Roman"/>
          <w:szCs w:val="24"/>
        </w:rPr>
        <w:lastRenderedPageBreak/>
        <w:t>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D04EB5">
        <w:rPr>
          <w:rFonts w:cs="Times New Roman"/>
          <w:szCs w:val="24"/>
        </w:rPr>
        <w:t>1</w:t>
      </w:r>
      <w:r w:rsidR="00E1450C">
        <w:rPr>
          <w:rFonts w:cs="Times New Roman"/>
          <w:szCs w:val="24"/>
        </w:rPr>
        <w:t>9</w:t>
      </w:r>
      <w:r w:rsidR="00506F5B" w:rsidRPr="00F55B92">
        <w:rPr>
          <w:rFonts w:cs="Times New Roman"/>
          <w:szCs w:val="24"/>
        </w:rPr>
        <w:t>.</w:t>
      </w:r>
      <w:r w:rsidR="001577FA">
        <w:rPr>
          <w:rFonts w:cs="Times New Roman"/>
          <w:szCs w:val="24"/>
        </w:rPr>
        <w:t>0</w:t>
      </w:r>
      <w:r w:rsidR="00D04EB5">
        <w:rPr>
          <w:rFonts w:cs="Times New Roman"/>
          <w:szCs w:val="24"/>
        </w:rPr>
        <w:t>6</w:t>
      </w:r>
      <w:r w:rsidR="008426E8" w:rsidRPr="00F55B92">
        <w:rPr>
          <w:rFonts w:cs="Times New Roman"/>
          <w:szCs w:val="24"/>
        </w:rPr>
        <w:t>.20</w:t>
      </w:r>
      <w:r w:rsidR="007A3150" w:rsidRPr="00F55B92">
        <w:rPr>
          <w:rFonts w:cs="Times New Roman"/>
          <w:szCs w:val="24"/>
        </w:rPr>
        <w:t>2</w:t>
      </w:r>
      <w:r w:rsidR="001577FA">
        <w:rPr>
          <w:rFonts w:cs="Times New Roman"/>
          <w:szCs w:val="24"/>
        </w:rPr>
        <w:t>6</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ней с даты заключения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 сайте </w:t>
      </w:r>
      <w:r w:rsidR="00D22D51" w:rsidRPr="00F55B92">
        <w:rPr>
          <w:rFonts w:cs="Times New Roman"/>
          <w:szCs w:val="24"/>
        </w:rPr>
        <w:t xml:space="preserve">торгов </w:t>
      </w:r>
      <w:r w:rsidRPr="00F55B92">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 xml:space="preserve">сумме арендной платы за нежилое помещение в месяц.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w:t>
      </w:r>
      <w:proofErr w:type="gramStart"/>
      <w:r w:rsidRPr="00F55B92">
        <w:rPr>
          <w:szCs w:val="24"/>
        </w:rPr>
        <w:t>1.Арендная</w:t>
      </w:r>
      <w:proofErr w:type="gramEnd"/>
      <w:r w:rsidRPr="00F55B92">
        <w:rPr>
          <w:szCs w:val="24"/>
        </w:rPr>
        <w:t xml:space="preserve">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к/с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 xml:space="preserve">муществом и земельными </w:t>
      </w:r>
      <w:r w:rsidRPr="00F55B92">
        <w:rPr>
          <w:szCs w:val="24"/>
        </w:rPr>
        <w:lastRenderedPageBreak/>
        <w:t>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w:t>
      </w:r>
      <w:proofErr w:type="gramStart"/>
      <w:r w:rsidRPr="00F55B92">
        <w:rPr>
          <w:szCs w:val="24"/>
        </w:rPr>
        <w:t>города  Твери</w:t>
      </w:r>
      <w:proofErr w:type="gramEnd"/>
      <w:r w:rsidRPr="00F55B92">
        <w:rPr>
          <w:szCs w:val="24"/>
        </w:rPr>
        <w:t>,   открытый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счет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аукциона  </w:t>
      </w:r>
      <w:r w:rsidR="001B7CA7" w:rsidRPr="00F55B92">
        <w:rPr>
          <w:sz w:val="24"/>
          <w:szCs w:val="24"/>
        </w:rPr>
        <w:t>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E1450C">
        <w:rPr>
          <w:sz w:val="24"/>
          <w:szCs w:val="24"/>
        </w:rPr>
        <w:t>15</w:t>
      </w:r>
      <w:r w:rsidR="001B7CA7" w:rsidRPr="00F55B92">
        <w:rPr>
          <w:sz w:val="24"/>
          <w:szCs w:val="24"/>
        </w:rPr>
        <w:t>.</w:t>
      </w:r>
      <w:r w:rsidR="001577FA">
        <w:rPr>
          <w:sz w:val="24"/>
          <w:szCs w:val="24"/>
        </w:rPr>
        <w:t>0</w:t>
      </w:r>
      <w:r w:rsidR="00D04EB5">
        <w:rPr>
          <w:sz w:val="24"/>
          <w:szCs w:val="24"/>
        </w:rPr>
        <w:t>5</w:t>
      </w:r>
      <w:r w:rsidR="00165C8D">
        <w:rPr>
          <w:sz w:val="24"/>
          <w:szCs w:val="24"/>
        </w:rPr>
        <w:t>.</w:t>
      </w:r>
      <w:r w:rsidR="001B7CA7" w:rsidRPr="00F55B92">
        <w:rPr>
          <w:sz w:val="24"/>
          <w:szCs w:val="24"/>
        </w:rPr>
        <w:t>202</w:t>
      </w:r>
      <w:r w:rsidR="001577FA">
        <w:rPr>
          <w:sz w:val="24"/>
          <w:szCs w:val="24"/>
        </w:rPr>
        <w:t>6</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w:t>
      </w:r>
      <w:proofErr w:type="gramStart"/>
      <w:r w:rsidR="001B7CA7" w:rsidRPr="00F55B92">
        <w:rPr>
          <w:rFonts w:cs="Times New Roman"/>
          <w:szCs w:val="24"/>
        </w:rPr>
        <w:t xml:space="preserve">отказе </w:t>
      </w:r>
      <w:r w:rsidRPr="00F55B92">
        <w:rPr>
          <w:rFonts w:cs="Times New Roman"/>
          <w:szCs w:val="24"/>
        </w:rPr>
        <w:t xml:space="preserve"> от</w:t>
      </w:r>
      <w:proofErr w:type="gramEnd"/>
      <w:r w:rsidRPr="00F55B92">
        <w:rPr>
          <w:rFonts w:cs="Times New Roman"/>
          <w:szCs w:val="24"/>
        </w:rPr>
        <w:t xml:space="preserve"> проведения аукциона </w:t>
      </w:r>
      <w:r w:rsidR="001B7CA7" w:rsidRPr="00F55B92">
        <w:rPr>
          <w:rFonts w:cs="Times New Roman"/>
          <w:szCs w:val="24"/>
        </w:rPr>
        <w:t>на официальном сайте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w:t>
      </w:r>
      <w:proofErr w:type="gramStart"/>
      <w:r w:rsidR="001B7CA7" w:rsidRPr="00F55B92">
        <w:rPr>
          <w:rFonts w:cs="Times New Roman"/>
          <w:szCs w:val="24"/>
        </w:rPr>
        <w:t xml:space="preserve">в </w:t>
      </w:r>
      <w:r w:rsidRPr="00F55B92">
        <w:rPr>
          <w:rFonts w:cs="Times New Roman"/>
          <w:szCs w:val="24"/>
        </w:rPr>
        <w:t xml:space="preserve"> течение</w:t>
      </w:r>
      <w:proofErr w:type="gramEnd"/>
      <w:r w:rsidRPr="00F55B92">
        <w:rPr>
          <w:rFonts w:cs="Times New Roman"/>
          <w:szCs w:val="24"/>
        </w:rPr>
        <w:t xml:space="preserve"> пяти рабочих дней с даты </w:t>
      </w:r>
      <w:r w:rsidR="001B7CA7" w:rsidRPr="00F55B92">
        <w:rPr>
          <w:rFonts w:cs="Times New Roman"/>
          <w:szCs w:val="24"/>
        </w:rPr>
        <w:t>размещения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r w:rsidRPr="00F55B92">
        <w:rPr>
          <w:rFonts w:cs="Times New Roman"/>
          <w:szCs w:val="24"/>
        </w:rPr>
        <w:t>действующего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 xml:space="preserve">ознакомившись с документацией о проведении аукциона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5"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осведомлен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127E5C" w:rsidRPr="003408BE" w:rsidRDefault="00127E5C" w:rsidP="00127E5C">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под</w:t>
      </w:r>
      <w:r w:rsidR="008D6572">
        <w:rPr>
          <w:rFonts w:cs="Times New Roman"/>
          <w:szCs w:val="24"/>
        </w:rPr>
        <w:t>_________________</w:t>
      </w:r>
      <w:r w:rsidRPr="003408BE">
        <w:rPr>
          <w:rFonts w:cs="Times New Roman"/>
          <w:sz w:val="28"/>
          <w:szCs w:val="28"/>
        </w:rPr>
        <w:t xml:space="preserve"> </w:t>
      </w:r>
      <w:r>
        <w:rPr>
          <w:rFonts w:cs="Times New Roman"/>
          <w:sz w:val="28"/>
          <w:szCs w:val="28"/>
        </w:rPr>
        <w:t>_________</w:t>
      </w:r>
      <w:r w:rsidRPr="003408BE">
        <w:rPr>
          <w:rFonts w:cs="Times New Roman"/>
          <w:sz w:val="28"/>
          <w:szCs w:val="28"/>
        </w:rPr>
        <w:t>________.</w:t>
      </w:r>
    </w:p>
    <w:p w:rsidR="00127E5C" w:rsidRPr="00DD5681" w:rsidRDefault="00127E5C" w:rsidP="00127E5C">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r w:rsidRPr="00F55B92">
        <w:rPr>
          <w:rFonts w:cs="Times New Roman"/>
          <w:szCs w:val="24"/>
        </w:rPr>
        <w:t>действующий (</w:t>
      </w:r>
      <w:proofErr w:type="spellStart"/>
      <w:r w:rsidRPr="00F55B92">
        <w:rPr>
          <w:rFonts w:cs="Times New Roman"/>
          <w:szCs w:val="24"/>
        </w:rPr>
        <w:t>щая</w:t>
      </w:r>
      <w:proofErr w:type="spellEnd"/>
      <w:r w:rsidRPr="00F55B92">
        <w:rPr>
          <w:rFonts w:cs="Times New Roman"/>
          <w:szCs w:val="24"/>
        </w:rPr>
        <w:t xml:space="preserve">) на основании </w:t>
      </w:r>
      <w:proofErr w:type="gramStart"/>
      <w:r w:rsidRPr="00F55B92">
        <w:rPr>
          <w:rFonts w:cs="Times New Roman"/>
          <w:szCs w:val="24"/>
        </w:rPr>
        <w:t>доверенности  №</w:t>
      </w:r>
      <w:proofErr w:type="gramEnd"/>
      <w:r w:rsidRPr="00F55B92">
        <w:rPr>
          <w:rFonts w:cs="Times New Roman"/>
          <w:szCs w:val="24"/>
        </w:rPr>
        <w:t xml:space="preserve">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проведении аукциона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подтверждает, что осведомлен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под</w:t>
      </w:r>
      <w:r w:rsidR="008D6572">
        <w:rPr>
          <w:rFonts w:cs="Times New Roman"/>
          <w:szCs w:val="24"/>
        </w:rPr>
        <w:t>___________________________________________</w:t>
      </w:r>
      <w:r w:rsidR="00BE1195" w:rsidRPr="003408BE">
        <w:rPr>
          <w:rFonts w:cs="Times New Roman"/>
          <w:sz w:val="28"/>
          <w:szCs w:val="28"/>
        </w:rPr>
        <w:t>.</w:t>
      </w: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                                                                                            </w:t>
      </w:r>
      <w:r w:rsidRPr="00F55B92">
        <w:rPr>
          <w:rFonts w:cs="Times New Roman"/>
          <w:b/>
          <w:szCs w:val="24"/>
        </w:rPr>
        <w:t xml:space="preserve">  </w:t>
      </w:r>
      <w:r w:rsidRPr="00F55B92">
        <w:rPr>
          <w:rFonts w:cs="Times New Roman"/>
          <w:szCs w:val="24"/>
        </w:rPr>
        <w:t xml:space="preserve">                                                                                                                </w:t>
      </w:r>
      <w:bookmarkEnd w:id="1"/>
      <w:bookmarkEnd w:id="2"/>
    </w:p>
    <w:sectPr w:rsidR="00A60EE0" w:rsidRPr="00F55B92" w:rsidSect="000D2375">
      <w:footerReference w:type="default" r:id="rId17"/>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CFF" w:rsidRDefault="00125CFF" w:rsidP="00E55DA8">
      <w:r>
        <w:separator/>
      </w:r>
    </w:p>
  </w:endnote>
  <w:endnote w:type="continuationSeparator" w:id="0">
    <w:p w:rsidR="00125CFF" w:rsidRDefault="00125CFF"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FE27A0">
          <w:rPr>
            <w:noProof/>
          </w:rPr>
          <w:t>4</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CFF" w:rsidRDefault="00125CFF" w:rsidP="00E55DA8">
      <w:r>
        <w:separator/>
      </w:r>
    </w:p>
  </w:footnote>
  <w:footnote w:type="continuationSeparator" w:id="0">
    <w:p w:rsidR="00125CFF" w:rsidRDefault="00125CFF" w:rsidP="00E55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15:restartNumberingAfterBreak="0">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15:restartNumberingAfterBreak="0">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E433D7"/>
    <w:multiLevelType w:val="singleLevel"/>
    <w:tmpl w:val="0D1A08AE"/>
    <w:lvl w:ilvl="0">
      <w:start w:val="2"/>
      <w:numFmt w:val="decimal"/>
      <w:lvlText w:val=""/>
      <w:lvlJc w:val="left"/>
      <w:pPr>
        <w:tabs>
          <w:tab w:val="num" w:pos="-66"/>
        </w:tabs>
        <w:ind w:left="-66" w:hanging="360"/>
      </w:pPr>
    </w:lvl>
  </w:abstractNum>
  <w:abstractNum w:abstractNumId="4" w15:restartNumberingAfterBreak="0">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E662CB8"/>
    <w:multiLevelType w:val="hybridMultilevel"/>
    <w:tmpl w:val="755CA4FA"/>
    <w:lvl w:ilvl="0" w:tplc="2F9CE8F4">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2F9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092F"/>
    <w:rsid w:val="000B0B9E"/>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538A"/>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5CFF"/>
    <w:rsid w:val="001269E1"/>
    <w:rsid w:val="00127274"/>
    <w:rsid w:val="00127E5C"/>
    <w:rsid w:val="00127F58"/>
    <w:rsid w:val="00130051"/>
    <w:rsid w:val="001302B0"/>
    <w:rsid w:val="00130914"/>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471F"/>
    <w:rsid w:val="001551CB"/>
    <w:rsid w:val="00155658"/>
    <w:rsid w:val="00155D78"/>
    <w:rsid w:val="00156BFD"/>
    <w:rsid w:val="0015703C"/>
    <w:rsid w:val="0015755D"/>
    <w:rsid w:val="001577FA"/>
    <w:rsid w:val="001603C4"/>
    <w:rsid w:val="0016102B"/>
    <w:rsid w:val="001612CA"/>
    <w:rsid w:val="00161B2A"/>
    <w:rsid w:val="00162987"/>
    <w:rsid w:val="0016333D"/>
    <w:rsid w:val="00163C7A"/>
    <w:rsid w:val="001656D8"/>
    <w:rsid w:val="00165C8D"/>
    <w:rsid w:val="0016604F"/>
    <w:rsid w:val="00166C13"/>
    <w:rsid w:val="00166E8A"/>
    <w:rsid w:val="00166F9E"/>
    <w:rsid w:val="00167DD4"/>
    <w:rsid w:val="00170397"/>
    <w:rsid w:val="00172261"/>
    <w:rsid w:val="00172436"/>
    <w:rsid w:val="001729E6"/>
    <w:rsid w:val="0017441C"/>
    <w:rsid w:val="00174493"/>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85"/>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45B"/>
    <w:rsid w:val="001E496B"/>
    <w:rsid w:val="001E53FF"/>
    <w:rsid w:val="001E5F4E"/>
    <w:rsid w:val="001E6EF5"/>
    <w:rsid w:val="001F07C7"/>
    <w:rsid w:val="001F256A"/>
    <w:rsid w:val="001F26B1"/>
    <w:rsid w:val="001F3056"/>
    <w:rsid w:val="001F327B"/>
    <w:rsid w:val="001F34DC"/>
    <w:rsid w:val="001F363C"/>
    <w:rsid w:val="001F429D"/>
    <w:rsid w:val="001F4522"/>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05E9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3705"/>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ABC"/>
    <w:rsid w:val="00275B34"/>
    <w:rsid w:val="00275F86"/>
    <w:rsid w:val="00276483"/>
    <w:rsid w:val="002768DF"/>
    <w:rsid w:val="002774DD"/>
    <w:rsid w:val="0028002E"/>
    <w:rsid w:val="002813FE"/>
    <w:rsid w:val="002815DB"/>
    <w:rsid w:val="00282174"/>
    <w:rsid w:val="0028275C"/>
    <w:rsid w:val="002841FA"/>
    <w:rsid w:val="002847EF"/>
    <w:rsid w:val="00284AAB"/>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6E8B"/>
    <w:rsid w:val="002B716D"/>
    <w:rsid w:val="002B757B"/>
    <w:rsid w:val="002B7AE7"/>
    <w:rsid w:val="002C0519"/>
    <w:rsid w:val="002C1281"/>
    <w:rsid w:val="002C3FCC"/>
    <w:rsid w:val="002C43C2"/>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E7434"/>
    <w:rsid w:val="002E76BA"/>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4E8B"/>
    <w:rsid w:val="00335A8C"/>
    <w:rsid w:val="003363E9"/>
    <w:rsid w:val="003365C9"/>
    <w:rsid w:val="00336814"/>
    <w:rsid w:val="0033728E"/>
    <w:rsid w:val="0033780B"/>
    <w:rsid w:val="00340AA0"/>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65B4"/>
    <w:rsid w:val="00357123"/>
    <w:rsid w:val="0035715D"/>
    <w:rsid w:val="003612E0"/>
    <w:rsid w:val="00361331"/>
    <w:rsid w:val="003616B8"/>
    <w:rsid w:val="00361866"/>
    <w:rsid w:val="00361CAE"/>
    <w:rsid w:val="00361D0A"/>
    <w:rsid w:val="00362233"/>
    <w:rsid w:val="0036251F"/>
    <w:rsid w:val="003625F8"/>
    <w:rsid w:val="00363AB5"/>
    <w:rsid w:val="0036580C"/>
    <w:rsid w:val="00366509"/>
    <w:rsid w:val="00366CC8"/>
    <w:rsid w:val="00367ADB"/>
    <w:rsid w:val="00371750"/>
    <w:rsid w:val="00371D61"/>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8D7"/>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9C8"/>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8F3"/>
    <w:rsid w:val="004F49FD"/>
    <w:rsid w:val="004F530E"/>
    <w:rsid w:val="004F63D3"/>
    <w:rsid w:val="004F6A46"/>
    <w:rsid w:val="004F77DE"/>
    <w:rsid w:val="00500015"/>
    <w:rsid w:val="005001F1"/>
    <w:rsid w:val="0050045A"/>
    <w:rsid w:val="0050063C"/>
    <w:rsid w:val="00500B72"/>
    <w:rsid w:val="00500EA6"/>
    <w:rsid w:val="00502266"/>
    <w:rsid w:val="00503F2A"/>
    <w:rsid w:val="00505355"/>
    <w:rsid w:val="00505496"/>
    <w:rsid w:val="00506DB5"/>
    <w:rsid w:val="00506F5B"/>
    <w:rsid w:val="00507DFD"/>
    <w:rsid w:val="0051193D"/>
    <w:rsid w:val="00512C3C"/>
    <w:rsid w:val="00512CD9"/>
    <w:rsid w:val="005140F3"/>
    <w:rsid w:val="00514231"/>
    <w:rsid w:val="0051498B"/>
    <w:rsid w:val="00514B66"/>
    <w:rsid w:val="00514E7C"/>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50A5"/>
    <w:rsid w:val="00535147"/>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2D00"/>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68B8"/>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3D96"/>
    <w:rsid w:val="005B61E1"/>
    <w:rsid w:val="005B6BF7"/>
    <w:rsid w:val="005B75CD"/>
    <w:rsid w:val="005B799C"/>
    <w:rsid w:val="005C1667"/>
    <w:rsid w:val="005C17D2"/>
    <w:rsid w:val="005C27CB"/>
    <w:rsid w:val="005C28F5"/>
    <w:rsid w:val="005C3B4F"/>
    <w:rsid w:val="005C4483"/>
    <w:rsid w:val="005C4899"/>
    <w:rsid w:val="005C5117"/>
    <w:rsid w:val="005C526B"/>
    <w:rsid w:val="005C5902"/>
    <w:rsid w:val="005C59EC"/>
    <w:rsid w:val="005C5DCB"/>
    <w:rsid w:val="005C6AF0"/>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1EF3"/>
    <w:rsid w:val="006F2B16"/>
    <w:rsid w:val="006F353A"/>
    <w:rsid w:val="006F381C"/>
    <w:rsid w:val="006F6492"/>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B7819"/>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1F13"/>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98C"/>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6930"/>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572"/>
    <w:rsid w:val="008D66E8"/>
    <w:rsid w:val="008E17CD"/>
    <w:rsid w:val="008E223D"/>
    <w:rsid w:val="008E4DBA"/>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444"/>
    <w:rsid w:val="00915502"/>
    <w:rsid w:val="00915629"/>
    <w:rsid w:val="009200C7"/>
    <w:rsid w:val="009207F9"/>
    <w:rsid w:val="00920EEF"/>
    <w:rsid w:val="00921145"/>
    <w:rsid w:val="00922110"/>
    <w:rsid w:val="0092218D"/>
    <w:rsid w:val="009224DC"/>
    <w:rsid w:val="009229EA"/>
    <w:rsid w:val="00925112"/>
    <w:rsid w:val="009264D7"/>
    <w:rsid w:val="00926ABB"/>
    <w:rsid w:val="009272CF"/>
    <w:rsid w:val="00927948"/>
    <w:rsid w:val="00927E64"/>
    <w:rsid w:val="0093153C"/>
    <w:rsid w:val="00931D11"/>
    <w:rsid w:val="009326B7"/>
    <w:rsid w:val="00932AB2"/>
    <w:rsid w:val="00932C5C"/>
    <w:rsid w:val="00932D47"/>
    <w:rsid w:val="009331E1"/>
    <w:rsid w:val="009335AD"/>
    <w:rsid w:val="00933C94"/>
    <w:rsid w:val="00934384"/>
    <w:rsid w:val="0093491B"/>
    <w:rsid w:val="00934ABD"/>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0B5"/>
    <w:rsid w:val="00995605"/>
    <w:rsid w:val="009963DB"/>
    <w:rsid w:val="00996491"/>
    <w:rsid w:val="009967C4"/>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F3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539F"/>
    <w:rsid w:val="00A96F36"/>
    <w:rsid w:val="00AA152C"/>
    <w:rsid w:val="00AA1554"/>
    <w:rsid w:val="00AA1E89"/>
    <w:rsid w:val="00AA2206"/>
    <w:rsid w:val="00AA3A1A"/>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2F1D"/>
    <w:rsid w:val="00AD3FBB"/>
    <w:rsid w:val="00AD457F"/>
    <w:rsid w:val="00AD49D5"/>
    <w:rsid w:val="00AD62E3"/>
    <w:rsid w:val="00AD6A31"/>
    <w:rsid w:val="00AD7E18"/>
    <w:rsid w:val="00AD7EF0"/>
    <w:rsid w:val="00AE08A9"/>
    <w:rsid w:val="00AE36C8"/>
    <w:rsid w:val="00AE42BD"/>
    <w:rsid w:val="00AE4A18"/>
    <w:rsid w:val="00AE5230"/>
    <w:rsid w:val="00AE5DAE"/>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667"/>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86C"/>
    <w:rsid w:val="00B96A1A"/>
    <w:rsid w:val="00B96E24"/>
    <w:rsid w:val="00B97DBC"/>
    <w:rsid w:val="00B97E04"/>
    <w:rsid w:val="00BA212B"/>
    <w:rsid w:val="00BA3138"/>
    <w:rsid w:val="00BA3498"/>
    <w:rsid w:val="00BA3CD3"/>
    <w:rsid w:val="00BA535D"/>
    <w:rsid w:val="00BA7F85"/>
    <w:rsid w:val="00BB0D6D"/>
    <w:rsid w:val="00BB0E5C"/>
    <w:rsid w:val="00BB2388"/>
    <w:rsid w:val="00BB28E0"/>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E7C94"/>
    <w:rsid w:val="00BF06CE"/>
    <w:rsid w:val="00BF1DFC"/>
    <w:rsid w:val="00BF1E34"/>
    <w:rsid w:val="00BF2969"/>
    <w:rsid w:val="00BF5413"/>
    <w:rsid w:val="00BF5774"/>
    <w:rsid w:val="00BF62C4"/>
    <w:rsid w:val="00BF6EA3"/>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16B"/>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479D"/>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1601"/>
    <w:rsid w:val="00CB355C"/>
    <w:rsid w:val="00CB4B0E"/>
    <w:rsid w:val="00CB4E76"/>
    <w:rsid w:val="00CB53B5"/>
    <w:rsid w:val="00CB78AA"/>
    <w:rsid w:val="00CC1864"/>
    <w:rsid w:val="00CC1ADE"/>
    <w:rsid w:val="00CC26BA"/>
    <w:rsid w:val="00CC32A6"/>
    <w:rsid w:val="00CC34B2"/>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BC0"/>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4EB5"/>
    <w:rsid w:val="00D0581B"/>
    <w:rsid w:val="00D05AD4"/>
    <w:rsid w:val="00D114FD"/>
    <w:rsid w:val="00D118F5"/>
    <w:rsid w:val="00D1207D"/>
    <w:rsid w:val="00D12C9F"/>
    <w:rsid w:val="00D13508"/>
    <w:rsid w:val="00D139F9"/>
    <w:rsid w:val="00D14228"/>
    <w:rsid w:val="00D145C3"/>
    <w:rsid w:val="00D1469C"/>
    <w:rsid w:val="00D1541E"/>
    <w:rsid w:val="00D1568F"/>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31C9"/>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3C0"/>
    <w:rsid w:val="00D62BC2"/>
    <w:rsid w:val="00D62CBA"/>
    <w:rsid w:val="00D6324A"/>
    <w:rsid w:val="00D645F0"/>
    <w:rsid w:val="00D64E24"/>
    <w:rsid w:val="00D64F21"/>
    <w:rsid w:val="00D65755"/>
    <w:rsid w:val="00D66841"/>
    <w:rsid w:val="00D67E79"/>
    <w:rsid w:val="00D71821"/>
    <w:rsid w:val="00D7233F"/>
    <w:rsid w:val="00D7240B"/>
    <w:rsid w:val="00D74E21"/>
    <w:rsid w:val="00D75913"/>
    <w:rsid w:val="00D76D8F"/>
    <w:rsid w:val="00D774C6"/>
    <w:rsid w:val="00D77765"/>
    <w:rsid w:val="00D778D6"/>
    <w:rsid w:val="00D81AE9"/>
    <w:rsid w:val="00D81F13"/>
    <w:rsid w:val="00D82134"/>
    <w:rsid w:val="00D824EB"/>
    <w:rsid w:val="00D825F4"/>
    <w:rsid w:val="00D83ADE"/>
    <w:rsid w:val="00D84FB3"/>
    <w:rsid w:val="00D8675F"/>
    <w:rsid w:val="00D870CE"/>
    <w:rsid w:val="00D87E69"/>
    <w:rsid w:val="00D90AF8"/>
    <w:rsid w:val="00D90DDD"/>
    <w:rsid w:val="00D91290"/>
    <w:rsid w:val="00D9242F"/>
    <w:rsid w:val="00D928D7"/>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50C"/>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BE6"/>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18EA"/>
    <w:rsid w:val="00E52C24"/>
    <w:rsid w:val="00E52F01"/>
    <w:rsid w:val="00E5319D"/>
    <w:rsid w:val="00E534C6"/>
    <w:rsid w:val="00E537AC"/>
    <w:rsid w:val="00E557A5"/>
    <w:rsid w:val="00E55DA8"/>
    <w:rsid w:val="00E56404"/>
    <w:rsid w:val="00E56571"/>
    <w:rsid w:val="00E56CFE"/>
    <w:rsid w:val="00E57D3D"/>
    <w:rsid w:val="00E57ED1"/>
    <w:rsid w:val="00E60EFC"/>
    <w:rsid w:val="00E611F4"/>
    <w:rsid w:val="00E62D15"/>
    <w:rsid w:val="00E62E81"/>
    <w:rsid w:val="00E63F99"/>
    <w:rsid w:val="00E646C4"/>
    <w:rsid w:val="00E6495C"/>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2ED3"/>
    <w:rsid w:val="00F14370"/>
    <w:rsid w:val="00F146EF"/>
    <w:rsid w:val="00F15A17"/>
    <w:rsid w:val="00F16F25"/>
    <w:rsid w:val="00F172A7"/>
    <w:rsid w:val="00F2302A"/>
    <w:rsid w:val="00F233E6"/>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A26"/>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19F4"/>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384"/>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7A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D0E87"/>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openxmlformats.org/officeDocument/2006/relationships/hyperlink" Target="consultantplus://offline/ref=E5CA140C911F4DC4B15D4C40BA7199342992A90A9642037ED7AD8820BF5C8E24BC3CC6FFC886AA5FFE79F6E03Ai5YC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5CA140C911F4DC4B15D4C40BA7199342992A90A9642037ED7AD8820BF5C8E24AE3C9EF3CA85B55AFA6CA0B17C0ADD608350B3F701FA2E8EiBYF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CA140C911F4DC4B15D4C40BA7199342992A90A9642037ED7AD8820BF5C8E24AE3C9EF3CA85B55DF66CA0B17C0ADD608350B3F701FA2E8EiBYFI" TargetMode="External"/><Relationship Id="rId5" Type="http://schemas.openxmlformats.org/officeDocument/2006/relationships/webSettings" Target="webSettings.xml"/><Relationship Id="rId15" Type="http://schemas.openxmlformats.org/officeDocument/2006/relationships/hyperlink" Target="consultantplus://offline/ref=B713E389FC7F6DE0D735A8AA494153A8E85FB7D4694625564EB707D599424390A70367AEA3C9E03Ca6cEN" TargetMode="External"/><Relationship Id="rId10" Type="http://schemas.openxmlformats.org/officeDocument/2006/relationships/hyperlink" Target="consultantplus://offline/ref=2A11D849767BB03CE06EC49A88D016C0F39BED7F62F88BF0150D3826419B9FC75C3EB67C3D74281D247C44285BVC24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E5CA140C911F4DC4B15D4C40BA7199342992AB009044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BC8F1-8094-4F30-99BB-8225CC6F8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5857</TotalTime>
  <Pages>13</Pages>
  <Words>6353</Words>
  <Characters>36213</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605</cp:revision>
  <cp:lastPrinted>2023-11-14T11:50:00Z</cp:lastPrinted>
  <dcterms:created xsi:type="dcterms:W3CDTF">2016-09-09T08:30:00Z</dcterms:created>
  <dcterms:modified xsi:type="dcterms:W3CDTF">2026-04-09T07:06:00Z</dcterms:modified>
</cp:coreProperties>
</file>