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F1" w:rsidRDefault="009D7DF1" w:rsidP="00ED2721">
      <w:bookmarkStart w:id="0" w:name="_GoBack"/>
      <w:bookmarkEnd w:id="0"/>
    </w:p>
    <w:p w:rsidR="009D7DF1" w:rsidRDefault="00840837">
      <w:pPr>
        <w:pStyle w:val="ConsPlusTitle0"/>
        <w:jc w:val="center"/>
        <w:outlineLvl w:val="0"/>
      </w:pPr>
      <w:r>
        <w:t>Т</w:t>
      </w:r>
      <w:r>
        <w:t>ВЕРСКАЯ ГОРОДСКАЯ ДУМА</w:t>
      </w:r>
    </w:p>
    <w:p w:rsidR="009D7DF1" w:rsidRDefault="009D7DF1">
      <w:pPr>
        <w:pStyle w:val="ConsPlusTitle0"/>
        <w:jc w:val="center"/>
      </w:pPr>
    </w:p>
    <w:p w:rsidR="009D7DF1" w:rsidRDefault="00840837">
      <w:pPr>
        <w:pStyle w:val="ConsPlusTitle0"/>
        <w:jc w:val="center"/>
      </w:pPr>
      <w:r>
        <w:t>РЕШЕНИЕ</w:t>
      </w:r>
    </w:p>
    <w:p w:rsidR="009D7DF1" w:rsidRDefault="00840837">
      <w:pPr>
        <w:pStyle w:val="ConsPlusTitle0"/>
        <w:jc w:val="center"/>
      </w:pPr>
      <w:r>
        <w:t>от 1 декабря 2021 г. N 258</w:t>
      </w:r>
    </w:p>
    <w:p w:rsidR="009D7DF1" w:rsidRDefault="009D7DF1">
      <w:pPr>
        <w:pStyle w:val="ConsPlusTitle0"/>
        <w:jc w:val="center"/>
      </w:pPr>
    </w:p>
    <w:p w:rsidR="009D7DF1" w:rsidRDefault="00840837">
      <w:pPr>
        <w:pStyle w:val="ConsPlusTitle0"/>
        <w:jc w:val="center"/>
      </w:pPr>
      <w:r>
        <w:t>ОБ УТВЕРЖДЕНИИ ПОЛОЖЕНИЯ</w:t>
      </w:r>
    </w:p>
    <w:p w:rsidR="009D7DF1" w:rsidRDefault="00840837">
      <w:pPr>
        <w:pStyle w:val="ConsPlusTitle0"/>
        <w:jc w:val="center"/>
      </w:pPr>
      <w:r>
        <w:t>О МУНИЦИПАЛЬНОМ ЖИЛИЩНОМ КОНТРОЛЕ В ГОРОДЕ ТВЕРИ</w:t>
      </w:r>
    </w:p>
    <w:p w:rsidR="009D7DF1" w:rsidRDefault="009D7D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D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DF1" w:rsidRDefault="009D7D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DF1" w:rsidRDefault="009D7D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DF1" w:rsidRDefault="008408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DF1" w:rsidRDefault="00840837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9D7DF1" w:rsidRDefault="008408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12.05.2023 </w:t>
            </w:r>
            <w:hyperlink r:id="rId6" w:tooltip="Решение Тверской городской Думы от 12.05.2023 N 107 &quot;О внесении изменений в Положение о муниципальном жилищном контроле в городе Твери, утвержденное решением Тверской городской Думы от 01.12.2021 N 258&quot; {КонсультантПлюс}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26.07.2023 </w:t>
            </w:r>
            <w:hyperlink r:id="rId7" w:tooltip="Решение Тверской городской Думы от 26.07.2023 N 165 &quot;О внесении изменения в Положение о муниципальном жилищном контроле в городе Твери, утвержденное решением Тверской городской Думы от 01.12.2021 N 258&quot; {КонсультантПлюс}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22.05.2025 </w:t>
            </w:r>
            <w:hyperlink r:id="rId8" w:tooltip="Решение Тверской городской Думы от 22.05.2025 N 96 &quot;О внесении изменения в решение Тверской городской Думы от 01.12.2021 N 258 &quot;Об утверждении Положения о муниципальном жилищном контроле в городе Твери&quot; (вместе с &quot;Положением о муниципальном жилищном контроле в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DF1" w:rsidRDefault="009D7DF1">
            <w:pPr>
              <w:pStyle w:val="ConsPlusNormal0"/>
            </w:pPr>
          </w:p>
        </w:tc>
      </w:tr>
    </w:tbl>
    <w:p w:rsidR="009D7DF1" w:rsidRDefault="009D7DF1">
      <w:pPr>
        <w:pStyle w:val="ConsPlusNormal0"/>
        <w:jc w:val="both"/>
      </w:pPr>
    </w:p>
    <w:p w:rsidR="009D7DF1" w:rsidRDefault="00840837">
      <w:pPr>
        <w:pStyle w:val="ConsPlusNormal0"/>
        <w:ind w:firstLine="540"/>
        <w:jc w:val="both"/>
      </w:pPr>
      <w:r>
        <w:t xml:space="preserve">В соответствии с Жилищным </w:t>
      </w:r>
      <w:hyperlink r:id="rId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31.07.2020 N 248-ФЗ "</w:t>
      </w:r>
      <w:r>
        <w:t xml:space="preserve">О государственном контроле (надзоре) и муниципальном контроле в Российской Федерации", руководствуясь </w:t>
      </w:r>
      <w:hyperlink r:id="rId11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Твери, Тве</w:t>
      </w:r>
      <w:r>
        <w:t>рская городская Дума решила: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муниципальном жилищном контроле в городе Твери (прилагается).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3. Настоящее решение вступает в силу с 01.01.2022.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4. Контроль за выполнением настоящего решения возложить на постоянный комитет по вопросам развития городской инфраструктуры (А.В. Сычев).</w:t>
      </w:r>
    </w:p>
    <w:p w:rsidR="009D7DF1" w:rsidRDefault="009D7DF1">
      <w:pPr>
        <w:pStyle w:val="ConsPlusNormal0"/>
        <w:jc w:val="both"/>
      </w:pPr>
    </w:p>
    <w:p w:rsidR="009D7DF1" w:rsidRDefault="00840837">
      <w:pPr>
        <w:pStyle w:val="ConsPlusNormal0"/>
        <w:jc w:val="right"/>
      </w:pPr>
      <w:r>
        <w:t>Председатель Тверской городской Думы</w:t>
      </w:r>
    </w:p>
    <w:p w:rsidR="009D7DF1" w:rsidRDefault="00840837">
      <w:pPr>
        <w:pStyle w:val="ConsPlusNormal0"/>
        <w:jc w:val="right"/>
      </w:pPr>
      <w:r>
        <w:t>Е.Е.ПИЧУЕВ</w:t>
      </w:r>
    </w:p>
    <w:p w:rsidR="009D7DF1" w:rsidRDefault="009D7DF1">
      <w:pPr>
        <w:pStyle w:val="ConsPlusNormal0"/>
        <w:jc w:val="both"/>
      </w:pPr>
    </w:p>
    <w:p w:rsidR="009D7DF1" w:rsidRDefault="00840837">
      <w:pPr>
        <w:pStyle w:val="ConsPlusNormal0"/>
        <w:jc w:val="right"/>
      </w:pPr>
      <w:r>
        <w:t>Глава города Твери</w:t>
      </w:r>
    </w:p>
    <w:p w:rsidR="009D7DF1" w:rsidRDefault="00840837">
      <w:pPr>
        <w:pStyle w:val="ConsPlusNormal0"/>
        <w:jc w:val="right"/>
      </w:pPr>
      <w:r>
        <w:t>А.В.ОГОНЬКОВ</w:t>
      </w:r>
    </w:p>
    <w:p w:rsidR="009D7DF1" w:rsidRDefault="009D7DF1">
      <w:pPr>
        <w:pStyle w:val="ConsPlusNormal0"/>
        <w:jc w:val="both"/>
      </w:pPr>
    </w:p>
    <w:p w:rsidR="009D7DF1" w:rsidRDefault="009D7DF1">
      <w:pPr>
        <w:pStyle w:val="ConsPlusNormal0"/>
        <w:jc w:val="both"/>
      </w:pPr>
    </w:p>
    <w:p w:rsidR="009D7DF1" w:rsidRDefault="009D7DF1">
      <w:pPr>
        <w:pStyle w:val="ConsPlusNormal0"/>
        <w:jc w:val="both"/>
      </w:pPr>
    </w:p>
    <w:p w:rsidR="009D7DF1" w:rsidRDefault="009D7DF1">
      <w:pPr>
        <w:pStyle w:val="ConsPlusNormal0"/>
        <w:jc w:val="both"/>
      </w:pPr>
    </w:p>
    <w:p w:rsidR="009D7DF1" w:rsidRDefault="009D7DF1">
      <w:pPr>
        <w:pStyle w:val="ConsPlusNormal0"/>
        <w:jc w:val="both"/>
      </w:pPr>
    </w:p>
    <w:p w:rsidR="009D7DF1" w:rsidRDefault="00840837">
      <w:pPr>
        <w:pStyle w:val="ConsPlusNormal0"/>
        <w:jc w:val="right"/>
        <w:outlineLvl w:val="0"/>
      </w:pPr>
      <w:r>
        <w:t>Приложение</w:t>
      </w:r>
    </w:p>
    <w:p w:rsidR="009D7DF1" w:rsidRDefault="00840837">
      <w:pPr>
        <w:pStyle w:val="ConsPlusNormal0"/>
        <w:jc w:val="right"/>
      </w:pPr>
      <w:r>
        <w:t>к решению Тверской городской Думы</w:t>
      </w:r>
    </w:p>
    <w:p w:rsidR="009D7DF1" w:rsidRDefault="00840837">
      <w:pPr>
        <w:pStyle w:val="ConsPlusNormal0"/>
        <w:jc w:val="right"/>
      </w:pPr>
      <w:r>
        <w:t>от 1 декабря 2021 г. N 258</w:t>
      </w:r>
    </w:p>
    <w:p w:rsidR="009D7DF1" w:rsidRDefault="009D7DF1">
      <w:pPr>
        <w:pStyle w:val="ConsPlusNormal0"/>
        <w:jc w:val="both"/>
      </w:pPr>
    </w:p>
    <w:p w:rsidR="009D7DF1" w:rsidRDefault="00840837">
      <w:pPr>
        <w:pStyle w:val="ConsPlusTitle0"/>
        <w:jc w:val="center"/>
      </w:pPr>
      <w:bookmarkStart w:id="1" w:name="P32"/>
      <w:bookmarkEnd w:id="1"/>
      <w:r>
        <w:t>ПОЛОЖЕНИЕ</w:t>
      </w:r>
    </w:p>
    <w:p w:rsidR="009D7DF1" w:rsidRDefault="00840837">
      <w:pPr>
        <w:pStyle w:val="ConsPlusTitle0"/>
        <w:jc w:val="center"/>
      </w:pPr>
      <w:r>
        <w:t>о муниципальном жилищном контроле в городе Твери</w:t>
      </w:r>
    </w:p>
    <w:p w:rsidR="009D7DF1" w:rsidRDefault="009D7D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D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DF1" w:rsidRDefault="009D7D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DF1" w:rsidRDefault="009D7D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DF1" w:rsidRDefault="008408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7DF1" w:rsidRDefault="0084083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Решение Тверской городской Думы от 22.05.2025 N 96 &quot;О внесении изменения в решение Тверской городской Думы от 01.12.2021 N 258 &quot;Об утверждении Положения о муниципальном жилищном контроле в городе Твери&quot; (вместе с &quot;Положением о муниципальном жилищном контроле в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Тверской городской Думы от 22.05.2025 N 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DF1" w:rsidRDefault="009D7DF1">
            <w:pPr>
              <w:pStyle w:val="ConsPlusNormal0"/>
            </w:pPr>
          </w:p>
        </w:tc>
      </w:tr>
    </w:tbl>
    <w:p w:rsidR="009D7DF1" w:rsidRDefault="009D7DF1">
      <w:pPr>
        <w:pStyle w:val="ConsPlusNormal0"/>
        <w:jc w:val="both"/>
      </w:pPr>
    </w:p>
    <w:p w:rsidR="009D7DF1" w:rsidRDefault="00840837">
      <w:pPr>
        <w:pStyle w:val="ConsPlusNormal0"/>
        <w:ind w:firstLine="540"/>
        <w:jc w:val="both"/>
      </w:pPr>
      <w:r>
        <w:t xml:space="preserve">1. Положение о муниципальном жилищном контроле в городе Твери (далее </w:t>
      </w:r>
      <w:r>
        <w:t xml:space="preserve">- Положение) устанавливает порядок организации и осуществления муниципального жилищного контроля в </w:t>
      </w:r>
      <w:r>
        <w:lastRenderedPageBreak/>
        <w:t>городе Твери.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2. Предметом муниципального жилищного контроля является соблюдение юридическими лицами, индивидуальными предпринимателями и гражданами обязател</w:t>
      </w:r>
      <w:r>
        <w:t>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1) требований </w:t>
      </w:r>
      <w:r>
        <w:t>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</w:t>
      </w:r>
      <w:r>
        <w:t>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требований к формированию фондов капитального ремонта;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4) </w:t>
      </w:r>
      <w:r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5) правил изменения размера платы за содержание жилого помещения в случае оказания услуг и выполнения работ по управлению, содержа</w:t>
      </w:r>
      <w:r>
        <w:t>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6) правил содержания общего имущества в многоквартирном доме и правил изменения размера платы за содержание жил</w:t>
      </w:r>
      <w:r>
        <w:t>ого помещения;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8) требований энергетической эффективности и оснащенности помещений многокв</w:t>
      </w:r>
      <w:r>
        <w:t>артирных домов и жилых домов приборами учета используемых энергетических ресурсов;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9) требований к порядку размещения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домами, информации в государственной</w:t>
      </w:r>
      <w:r>
        <w:t xml:space="preserve"> информационной системе жилищно-коммунального хозяйства (далее - ГИС ЖКХ);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10) требований к обеспечению доступности для инвалидов помещений в многоквартирных домах;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11) требований к предоставлению жилых помещений в наемных домах социального использования;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</w:t>
      </w:r>
      <w:r>
        <w:lastRenderedPageBreak/>
        <w:t>к общему имуществу в многоквартирном доме вентиляционных и дымовых каналов.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В п</w:t>
      </w:r>
      <w:r>
        <w:t>редмет муниципального жилищного контроля включается исполнение решений, принимаемых по результатам контрольных мероприятий.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3. Органом местного самоуправления города Твери, уполномоченным на осуществление муниципального жилищного контроля в городе Твери, я</w:t>
      </w:r>
      <w:r>
        <w:t>вляется Администрация города Твери в лице департамента жилищно-коммунального хозяйства, жилищной политики и строительства администрации города Твери (далее - контрольный орган).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4. От имени контрольного органа муниципальный жилищный контроль осуществляют у</w:t>
      </w:r>
      <w:r>
        <w:t>полномоченные должностные лица контрольного органа, являющиеся муниципальными жилищными инспекторами (далее - должностные лица контрольного органа), в должностные обязанности которых в соответствии с настоящим Положением, должностными инструкциями входит о</w:t>
      </w:r>
      <w:r>
        <w:t>существление муниципального жилищного контроля.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Должностным лицом контрольного органа, уполномоченным на принятие решений о проведении профилактических или контрольных мероприятий, является руководитель контрольного органа.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Должностное лицо контрольного ор</w:t>
      </w:r>
      <w:r>
        <w:t>гана, уполномоченное на проведение конкретного профилактического или контрольного мероприятия, определяется решением контрольного органа о проведении профилактического или контрольного мероприятия.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5. Контролируемыми лицами при осуществлении муниципального</w:t>
      </w:r>
      <w:r>
        <w:t xml:space="preserve"> жилищного контроля являются юридические лица, индивидуальные предприниматели, граждане (далее - контролируемые лица).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6. Объектами муниципального жилищного контроля являются: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деятельность, действия (бездействие) юридических лиц, индивидуальных предприн</w:t>
      </w:r>
      <w:r>
        <w:t>имателей, в рамках которых должны соблюдаться обязательные требования, в том числе предъявляемые к юридическим лицам, индивидуальным предпринимателям, осуществляющим деятельность: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а) по управлению многоквартирными домами, расположенными на территории город</w:t>
      </w:r>
      <w:r>
        <w:t>а Твери (</w:t>
      </w:r>
      <w:proofErr w:type="gramStart"/>
      <w:r>
        <w:t>при наличие</w:t>
      </w:r>
      <w:proofErr w:type="gramEnd"/>
      <w:r>
        <w:t xml:space="preserve"> в таких домах муниципального жилищного фонда);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б) по предоставлению коммунальных услуг гражданам в многоквартирных домах, расположенных на территории города Твери (при наличии в таких домах муниципального жилищного фонда);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2) действия </w:t>
      </w:r>
      <w:r>
        <w:t>(бездействие) граждан - нанимателей муниципального жилищного фонда города Твери, в рамках которых должны соблюдаться обязательные требования;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результаты деятельности юридических лиц, индивидуальных предпринимателей, осуществляющих: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а) управление многокв</w:t>
      </w:r>
      <w:r>
        <w:t>артирными домами, расположенными на территории города Твери (при наличии в таких домах муниципального жилищного фонда);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б) предоставление коммунальных услуг гражданам в многоквартирных домах, </w:t>
      </w:r>
      <w:r>
        <w:lastRenderedPageBreak/>
        <w:t>расположенных на территории города Твери (при наличии в таких до</w:t>
      </w:r>
      <w:r>
        <w:t>мах муниципального жилищного фонда);</w:t>
      </w:r>
    </w:p>
    <w:p w:rsidR="009D7DF1" w:rsidRDefault="00840837">
      <w:pPr>
        <w:pStyle w:val="ConsPlusNormal0"/>
        <w:spacing w:before="240"/>
        <w:ind w:firstLine="540"/>
        <w:jc w:val="both"/>
      </w:pPr>
      <w:bookmarkStart w:id="2" w:name="P65"/>
      <w:bookmarkEnd w:id="2"/>
      <w:r>
        <w:t>4) общее имущество многоквартирных домов, расположенных на территории города Твери (при наличии в таких домах муниципального жилищного фонда), муниципальный жилищный фонд, к которым предъявляются обязательные требования</w:t>
      </w:r>
      <w:r>
        <w:t>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7. Контрольный орган осуществляет учет объектов муниципального жилищного контроля (далее - объект контроля) с использованием ГИС ЖКХ путем ведения перечня объектов контроля в Едином реестре видов федерального государственного контроля (надзора), регионал</w:t>
      </w:r>
      <w:r>
        <w:t>ьного государственного контроля (надзора), муниципального контроля.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8. Контрольный орган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высокий риск;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средний риск;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умеренный риск;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4) низкий риск.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Отнесение объектов контроля к одной из категорий риска осуществляется на основании сопоставления их характеристик с утвержденными </w:t>
      </w:r>
      <w:hyperlink w:anchor="P249" w:tooltip="Критерии">
        <w:r>
          <w:rPr>
            <w:color w:val="0000FF"/>
          </w:rPr>
          <w:t>критериями</w:t>
        </w:r>
      </w:hyperlink>
      <w:r>
        <w:t xml:space="preserve"> отнесения объектов контроля к категориям риска причинения вреда (ущерба) охраняемым законом ценностям при осуществлении муниципального жилищного контроля согласно приложению к настоящему Положению.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9. Права и обязанности должностных лиц при осуществлении </w:t>
      </w:r>
      <w:r>
        <w:t xml:space="preserve">муниципального жилищного контроля установлены Федеральным </w:t>
      </w:r>
      <w:hyperlink r:id="rId1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</w:t>
      </w:r>
      <w:r>
        <w:t>алее - Федеральный закон N 248-ФЗ).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10. При осуществлении муниципального жилищного контроля контрольный орган проводит следующие виды профилактических мероприятий: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информирование;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консультирование;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обобщение правоприменительной практики;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4) объявл</w:t>
      </w:r>
      <w:r>
        <w:t>ение предостережения;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5) профилактический визит.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и поддержания в актуальном состоянии соответ</w:t>
      </w:r>
      <w:r>
        <w:t xml:space="preserve">ствующих сведений, установленных Федеральным </w:t>
      </w:r>
      <w:hyperlink r:id="rId1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на официальном сайте Администрации города Твери в информационно-телекоммуникационной сети Интернет </w:t>
      </w:r>
      <w:hyperlink r:id="rId15">
        <w:r>
          <w:rPr>
            <w:color w:val="0000FF"/>
          </w:rPr>
          <w:t>www.tv</w:t>
        </w:r>
        <w:r>
          <w:rPr>
            <w:color w:val="0000FF"/>
          </w:rPr>
          <w:t>er.ru</w:t>
        </w:r>
      </w:hyperlink>
      <w:r>
        <w:t xml:space="preserve"> (далее - официальный сайт).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lastRenderedPageBreak/>
        <w:t xml:space="preserve">12. Должностные лица контрольного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жилищного </w:t>
      </w:r>
      <w:r>
        <w:t>контроля).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13. Консультирование может осуществляться должностным лицом контрольного органа по телефону, на личном приеме либо в ходе проведения профилактического, контрольного мероприятия.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Время консультирования не должно превышать 15 минут.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При консультир</w:t>
      </w:r>
      <w:r>
        <w:t>овании на личном приеме контролируемое лицо предъявляет должностному лицу контрольного органа, проводящему личный прием, документ, удостоверяющий его личность, а его представитель предъявляет документ, удостоверяющий его личность, а также оформленную в соо</w:t>
      </w:r>
      <w:r>
        <w:t>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При осуществлении консультирования должностное лицо контрольного органа обязано соблюдать конфиденциальность информации, </w:t>
      </w:r>
      <w:r>
        <w:t>доступ к которой ограничен в соответствии с законодательством Российской Федерации.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</w:t>
      </w:r>
      <w:r>
        <w:t>ргана, иных участников контрольного мероприятия.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</w:t>
      </w:r>
      <w:r>
        <w:t>х требований.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Контрольный орган ведет журнал учета консультирований.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В случае, если в течение календарного года поступило 3 и более однотипных (по одним и тем же вопросам) обращений контролируемых лиц или их представителей, консультирование по таким обраще</w:t>
      </w:r>
      <w:r>
        <w:t>ниям осуществляется посредством размещения на официальном сайте письменного разъяснения.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14. Консультирование, в том числе в письменной форме, осуществляется должностными лицами контрольного органа по следующим вопросам: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организация и осуществление муни</w:t>
      </w:r>
      <w:r>
        <w:t>ципального жилищного контроля;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порядок осуществления контрольных мероприятий, установленных настоящим Положением;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порядок обжалования действий (бездействия) должностных лиц контрольного органа.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15. Консультирование в письменной форме осуществляется п</w:t>
      </w:r>
      <w:r>
        <w:t>осредством 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Консультирование в письменной форме осуществляется в следующих случаях: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1) контролируемым лицом представлен письменный запрос о предоставлении письменного </w:t>
      </w:r>
      <w:r>
        <w:lastRenderedPageBreak/>
        <w:t>ответа по вопросам консультирования;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за время консультирования предоставить ответ на поставленные вопросы невозможно;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ответ на поставленные вопросы требует дополнитель</w:t>
      </w:r>
      <w:r>
        <w:t>ного запроса сведений.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16. Обобщение правоприменительной практики проводится для решения следующих задач: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обеспечение единообразных подходов к применению контрольным органом и должностными лицами контрольного органа обязательных требований, законодатель</w:t>
      </w:r>
      <w:r>
        <w:t>ства Российской Федерации о муниципальном жилищном контроле;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анализ случаев причинения вреда (ущерба) охраняемым закон</w:t>
      </w:r>
      <w:r>
        <w:t>ом ценностям, выявление источников и факторов риска причинения вреда (ущерба);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4) подготовка предложений об актуализации обязательных требований;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5) подготовка предложений о внесении изменений в законодательство Российской Федерации о муниципальном жилищно</w:t>
      </w:r>
      <w:r>
        <w:t>м контроле.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По итогам обобщения правоприменительной практики, контрольный орган не позднее двадцатого января года, следующего за отчетным, готовит доклад, содержащий результаты обобщения правоприменительной практики (далее - Доклад).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В целях общественного </w:t>
      </w:r>
      <w:r>
        <w:t>обсуждения проект Доклада размещается на официальном сайте.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Доклад утверждается приказом руководителя контрольного органа и в течение 5 рабочих дней со дня его утверждения размещается на официальном сайте.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17.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</w:t>
      </w:r>
      <w:r>
        <w:t>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</w:t>
      </w:r>
      <w:r>
        <w:t>ы по обеспечению соблюдения обязательных требований.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18.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</w:t>
      </w:r>
      <w:hyperlink r:id="rId1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а также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</w:t>
      </w:r>
      <w:r>
        <w:t>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</w:t>
      </w:r>
      <w:r>
        <w:t>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Контролируемое лицо вправе в срок не позднее 30 дней со дня получения предостережения о </w:t>
      </w:r>
      <w:r>
        <w:lastRenderedPageBreak/>
        <w:t>недопустимости на</w:t>
      </w:r>
      <w:r>
        <w:t>рушения обязательных требований подать в контрольный орган возражение в отношении указанного предостережения.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Возражение рассматривается контрольным органом в течение 15 дней со дня получения. В результате рассмотрения возражения контролируемому лицу напра</w:t>
      </w:r>
      <w:r>
        <w:t>вляется ответ с информацией о согласии или несогласии с возражением.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В случае принятия представленных в возражении контролируемого лица доводов контрольный орган аннулирует направленное ранее предостережение. При несогласии с возражением указываются соотве</w:t>
      </w:r>
      <w:r>
        <w:t>тствующие обоснования.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19. Контрольный орган осуществляет учет объявленных им предос</w:t>
      </w:r>
      <w:r>
        <w:t>тережений о недопустимости нарушения обязательных требований и использует соответствующие данные для проведения иных профилактических мероприятий или контрольных мероприятий.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20. Профилактический визит проводится в форме профилактической беседы должностным</w:t>
      </w:r>
      <w:r>
        <w:t>и лицами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Профилактический визит проводится по инициативе контрольного органа (обязательный пр</w:t>
      </w:r>
      <w:r>
        <w:t>офилактический визит) или по инициативе контролируемого лица.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21. Обязательный профилактический визит проводится в отношении объектов контроля, отнесенных к категории высокого риска, с периодичностью один обязательный профилактический визит в год.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Обязател</w:t>
      </w:r>
      <w:r>
        <w:t>ьный профилактический визит в отношении объектов контроля, отнесенных к категории среднего, умеренного и низкого риска, не проводится.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Обязательный профилактический визит проводится в порядке, определенном </w:t>
      </w:r>
      <w:hyperlink r:id="rId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52.1</w:t>
        </w:r>
      </w:hyperlink>
      <w:r>
        <w:t xml:space="preserve"> Федерального закона N 248-ФЗ.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22. Профилактический визит по инициативе контролируемого лица проводится в порядке, определенном </w:t>
      </w:r>
      <w:hyperlink r:id="rId1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</w:t>
        </w:r>
        <w:r>
          <w:rPr>
            <w:color w:val="0000FF"/>
          </w:rPr>
          <w:t>.2</w:t>
        </w:r>
      </w:hyperlink>
      <w:r>
        <w:t xml:space="preserve"> Федерального закона N 248-ФЗ.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23. При осуществлении муниципального жилищного контроля контрольный орган проводит следующие виды контрольных мероприятий без взаимодействия: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наблюдение за соблюдением обязательных требований;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выездное обследование.</w:t>
      </w:r>
    </w:p>
    <w:p w:rsidR="009D7DF1" w:rsidRDefault="009D7D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D7D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DF1" w:rsidRDefault="009D7D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DF1" w:rsidRDefault="009D7D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7DF1" w:rsidRDefault="0084083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четвертый п. 23 </w:t>
            </w:r>
            <w:hyperlink r:id="rId19" w:tooltip="Решение Тверской городской Думы от 22.05.2025 N 96 &quot;О внесении изменения в решение Тверской городской Думы от 01.12.2021 N 258 &quot;Об утверждении Положения о муниципальном жилищном контроле в городе Твери&quot; (вместе с &quot;Положением о муниципальном жилищном контроле в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DF1" w:rsidRDefault="009D7DF1">
            <w:pPr>
              <w:pStyle w:val="ConsPlusNormal0"/>
            </w:pPr>
          </w:p>
        </w:tc>
      </w:tr>
    </w:tbl>
    <w:p w:rsidR="009D7DF1" w:rsidRDefault="00840837">
      <w:pPr>
        <w:pStyle w:val="ConsPlusNormal0"/>
        <w:spacing w:before="300"/>
        <w:ind w:firstLine="540"/>
        <w:jc w:val="both"/>
      </w:pPr>
      <w:r>
        <w:t>По результатам проведения контрольного мероприятия без взаимодейств</w:t>
      </w:r>
      <w:r>
        <w:t>ия составляется акт.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24. При осуществлении муниципального жилищного контроля плановые контрольные </w:t>
      </w:r>
      <w:r>
        <w:lastRenderedPageBreak/>
        <w:t>мероприятия не проводятся.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Внеплановые контрольные мероприятия проводятся только после согласования с органами прокуратуры.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25.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использует индикаторы риска нарушения обязательных требований при осуществлении муниципального жилищн</w:t>
      </w:r>
      <w:r>
        <w:t>ого контроля в городе Твери, утвержденные решением Тверской городской Думы.</w:t>
      </w:r>
    </w:p>
    <w:p w:rsidR="009D7DF1" w:rsidRDefault="00840837">
      <w:pPr>
        <w:pStyle w:val="ConsPlusNormal0"/>
        <w:spacing w:before="240"/>
        <w:ind w:firstLine="540"/>
        <w:jc w:val="both"/>
      </w:pPr>
      <w:bookmarkStart w:id="3" w:name="P129"/>
      <w:bookmarkEnd w:id="3"/>
      <w:r>
        <w:t>26. В день подписания решения о проведении внепланового контрольного мероприятия, в целях согласования его проведения, контрольный орган направляет в орган прокуратуры по месту нах</w:t>
      </w:r>
      <w:r>
        <w:t>ождения объекта контроля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основанием для его проведения.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Обмен сведениями и до</w:t>
      </w:r>
      <w:r>
        <w:t>кументами по вопросам согласования проведения внеплановых контрольных мероприятий между контрольным органом и органами прокуратуры осуществляется с использованием информационной системы государственного контроля (надзора), муниципального контроля "Единый р</w:t>
      </w:r>
      <w:r>
        <w:t>еестр контрольных (надзорных) мероприятий" (далее - Единый реестр контрольных мероприятий), за исключением сведений и документов, содержащих государственную или иную охраняемую законом тайну.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Контрольный орган при поступлении сведений, предусмотренных </w:t>
      </w:r>
      <w:hyperlink r:id="rId2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60</w:t>
        </w:r>
      </w:hyperlink>
      <w:r>
        <w:t xml:space="preserve"> Федерального закона N 248-ФЗ, и в случае необходимости принятия неотложных мер по предотвращению и устранению нарушений обязательных требований приступает к провед</w:t>
      </w:r>
      <w:r>
        <w:t>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r>
        <w:t xml:space="preserve">, предусмотренных </w:t>
      </w:r>
      <w:hyperlink w:anchor="P129" w:tooltip="26. В день подписания решения о проведении внепланового контрольного мероприятия, в целях согласования его проведения, контрольный орган направляет в орган прокуратуры по месту нахождения объекта контроля сведения о внеплановом контрольном мероприятии с прилож">
        <w:r>
          <w:rPr>
            <w:color w:val="0000FF"/>
          </w:rPr>
          <w:t>абзацем первым</w:t>
        </w:r>
      </w:hyperlink>
      <w:r>
        <w:t xml:space="preserve"> настоящего пункта. В этом случае контролируемое лицо может не уведомляться о проведении внепланового контрольного мероприятия.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27. Основанием для проведения внеплановых контрольных мероп</w:t>
      </w:r>
      <w:r>
        <w:t>риятий являются: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</w:t>
      </w:r>
      <w:hyperlink r:id="rId2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</w:t>
        </w:r>
        <w:r>
          <w:rPr>
            <w:color w:val="0000FF"/>
          </w:rPr>
          <w:t>тьи 60</w:t>
        </w:r>
      </w:hyperlink>
      <w:r>
        <w:t xml:space="preserve"> Федерального закона N 248-ФЗ;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требование прокурора о проведении контрольног</w:t>
      </w:r>
      <w:r>
        <w:t>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4) истечение срока исполнения решения контрольного органа об устранении выявленного нарушения обязательных требований - в случаях, установленных </w:t>
      </w:r>
      <w:hyperlink r:id="rId2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95</w:t>
        </w:r>
      </w:hyperlink>
      <w:r>
        <w:t xml:space="preserve"> Федерального з</w:t>
      </w:r>
      <w:r>
        <w:t>акона N 248-ФЗ;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5) выявление соответствия объекта контроля параметрам, утвержденным индикаторами риска нарушения обязательных требований;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lastRenderedPageBreak/>
        <w:t>6) уклонение контролируемого лица от проведения обязательного профилактического визита.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28. При осуществлении муниципа</w:t>
      </w:r>
      <w:r>
        <w:t>льного жилищного контроля контрольный орган проводит следующие виды контрольных мероприятий: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инспекционный визит;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документарная проверка;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выездная проверка.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29. Инспекционный визит проводится по месту нахождения (осуществления деятельности) контро</w:t>
      </w:r>
      <w:r>
        <w:t>лируемого лица (его филиалов, представительств, обособленных структурных подразделений) либо объекта контроля.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Инспекционный визит может проводится с использованием средств дистанционного взаимодействия, в том числе посредством видео-конференц-связи, а так</w:t>
      </w:r>
      <w:r>
        <w:t>же с использованием мобильного приложения "Инспектор".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В ходе инспекционного визита могут совершаться следующие контрольные действия: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осмотр;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опрос;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4) инструментальное обследование;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5) истребование документов, кот</w:t>
      </w:r>
      <w:r>
        <w:t>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Инспекционный визит пров</w:t>
      </w:r>
      <w:r>
        <w:t>одится без предварительного уведомления контролируемого лица.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Контролируемые лица или и</w:t>
      </w:r>
      <w:r>
        <w:t>х представители обязаны обеспечить беспрепятственный доступ должностного лица контрольного органа в здания, сооружения, помещения.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30. Документарная проверка проводится по месту нахождения контрольного органа.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31. Срок проведения документарной проверки не может превышать 10 рабочих дней.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</w:t>
      </w:r>
      <w:r>
        <w:t>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</w:t>
      </w:r>
      <w:r>
        <w:t xml:space="preserve">оответствии сведений, содержащихся в этих документах, сведениям, содержащимся в </w:t>
      </w:r>
      <w:r>
        <w:lastRenderedPageBreak/>
        <w:t>имеющихся у контрольного органа документах и (или) полученным при осуществлении муниципального жилищного контроля, и требования представить необходимые письменные объяснения до</w:t>
      </w:r>
      <w:r>
        <w:t xml:space="preserve">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32. В ходе документарной проверки могут совершаться следующие контрольные действия: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истребование документов</w:t>
      </w:r>
      <w:r>
        <w:t>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получение письменных объяснений.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33.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</w:t>
      </w:r>
      <w:r>
        <w:t>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документы, в том числе материалы фотосъемки, аудио- и видеозаписи, информационные базы</w:t>
      </w:r>
      <w:r>
        <w:t>, банки данных, а также иные носители информации с предоставлением доступа к ним (за исключением материалов, имеющихся в распоряжении контрольного органа и (или) размещенных на официальном сайте контролируемого лица в информационно-телекоммуникационной сет</w:t>
      </w:r>
      <w:r>
        <w:t>и Интернет).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Перечень запрашиваемых документов указывается в решении контрольного органа о проведении </w:t>
      </w:r>
      <w:r>
        <w:t>документарной проверки.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предусмотренных законодательством Рос</w:t>
      </w:r>
      <w:r>
        <w:t>сийской Федерации.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34.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</w:t>
      </w:r>
      <w:r>
        <w:t xml:space="preserve">ихся у контрольного органа документах и (или) полученным при осуществлении муниципального жилищного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</w:t>
      </w:r>
      <w:r>
        <w:t>дней необходимые письменные объяснения.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Контролируемое лицо представляет должностному лицу контрольного органа, уполномоченному на проведение документарной проверки, письменные объяснения в свободной форме в установленный для представления таких объяснений</w:t>
      </w:r>
      <w:r>
        <w:t xml:space="preserve"> срок. Контролируемое лицо вправе дополнительно представить в контрольный орган документы, подтверждающие достоверность ранее представленных документов.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35. При проведении документарной проверки контрольный орган не вправе требовать у контролируемого лица </w:t>
      </w:r>
      <w:r>
        <w:t>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36. Должностное лицо контрольного органа, уполномоченное на проведение документарной проверки, п</w:t>
      </w:r>
      <w:r>
        <w:t xml:space="preserve">о окончании проведения документарной проверки составляет акт контрольного </w:t>
      </w:r>
      <w:r>
        <w:lastRenderedPageBreak/>
        <w:t>мероприятия (далее - акт проверки). Документы и иные материалы, являющиеся доказательствами нарушения обязательных требований, приобщаются к акту проверки.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37. Оформление акта провер</w:t>
      </w:r>
      <w:r>
        <w:t>ки производится по месту нахождения контрольного органа в день окончания проведения документарной проверки. Результаты проверки, содержащие информацию, составляющую государственную, коммерческую, служебную и иную охраняемую законом тайну, оформляются с соб</w:t>
      </w:r>
      <w:r>
        <w:t>людением требований, предусмотренных законодательством Российской Федерации.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Акт проверки направляется в органы прокуратуры с использованием Единого реестра контрольных мероприятий непосредственно после его оформления.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38. Выездная проверка проводится по м</w:t>
      </w:r>
      <w:r>
        <w:t>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Выездная проверка может проводиться с использованием средств дистанционного взаимодействия, в </w:t>
      </w:r>
      <w:r>
        <w:t>том числе посредством видео-конференц-связи, а также с использованием мобильного приложения "Инспектор".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39. Срок проведения выездной проверки не может превышать 10 рабочих дней.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В отношении контролируемого лица, являющегося субъектом малого предпринимател</w:t>
      </w:r>
      <w:r>
        <w:t xml:space="preserve">ьства,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t>микропредприятия</w:t>
      </w:r>
      <w:proofErr w:type="spellEnd"/>
      <w:r>
        <w:t>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40. В ходе выездной проверки могут совершаться следующие контрольные действия: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осмотр;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опрос;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3) </w:t>
      </w:r>
      <w:r>
        <w:t>получение письменных объяснений;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4) истребование документов;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5) инструментальное обследование.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41. О проведении выездной проверки контролируемое лицо уведомляется в порядке, предусмотренном Федеральным </w:t>
      </w:r>
      <w:hyperlink r:id="rId2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посредством направления копии решения о проведении выездной проверки не позднее чем за 24 часа до ее начала.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Индивидуальный предприниматель, гражданин, являющиеся контролируемыми лицами, вправе предоставить в контрольный орган информацию о невозможности присутствия при проведении контрольного мероприятия в случае временной нетрудоспособности на момент проведения </w:t>
      </w:r>
      <w:r>
        <w:t>контрольного мероприятия.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Информация о невозможности присутствия направляется непосредственно индивидуальным предпринимателем, гражданином, являющимися контролируемыми лицами, или их законными представителями на адрес контрольного органа, указанный в решен</w:t>
      </w:r>
      <w:r>
        <w:t>ии о проведении контрольного мероприятия.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lastRenderedPageBreak/>
        <w:t xml:space="preserve">В случае, указанном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</w:t>
      </w:r>
      <w:r>
        <w:t>на срок до устранения причин, препятствующих присутствию при проведении контрольного мероприятия.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42. Должностное лицо контрольного органа, уполномоченное на проведение выездной проверки, проводит осмотр в присутствии контролируемого лица или его представителя и (или) с применением фотосъемки или видеозаписи.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Осмотр может осуществляться с использование</w:t>
      </w:r>
      <w:r>
        <w:t xml:space="preserve">м средств дистанционного взаимодействия, в том числе посредством видео-конференц-связи, а также с использованием мобильного приложения "Инспектор" в случае проведения выездной проверки в отношении объектов контроля, указанных в </w:t>
      </w:r>
      <w:hyperlink w:anchor="P65" w:tooltip="4) общее имущество многоквартирных домов, расположенных на территории города Твери (при наличии в таких домах муниципального жилищного фонда), муниципальный жилищный фонд, к которым предъявляются обязательные требования.">
        <w:r>
          <w:rPr>
            <w:color w:val="0000FF"/>
          </w:rPr>
          <w:t>абзаце девятом пункта 6</w:t>
        </w:r>
      </w:hyperlink>
      <w:r>
        <w:t xml:space="preserve"> настояще</w:t>
      </w:r>
      <w:r>
        <w:t>го Положения.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По результатам осмотра должностным лицом, уполномоченным на проведение выездной проверки, составляется протокол осмотра.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43. Должностное лицо контрольного органа, уполномоченное на проведение выездной проверки, вправе проводить опрос контроли</w:t>
      </w:r>
      <w:r>
        <w:t>руемого лица или его представителя, иных лиц, располагающих информацией, по вопросам, имеющим значение для проведения оценки соблюдения контролируемым лицом обязательных требований.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Опрос может осуществляться с использованием средств дистанционного взаимод</w:t>
      </w:r>
      <w:r>
        <w:t>ействия, в том числе посредством видео-конференц-связи, а также с использованием мобильного приложения "Инспектор".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</w:t>
      </w:r>
      <w:r>
        <w:t>ний, а также в акте контрольного мероприятия в случае, если полученные сведения имеют значение для контрольного мероприятия. Протокол опроса приобщается к акту проверки.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44. Должностное лицо контрольного органа, уполномоченное на проведение выездной провер</w:t>
      </w:r>
      <w:r>
        <w:t>ки, вправе запрашивать у контролируемого лица или его представителя, свидетелей, располагающих сведениями, письменные свидетельства, имеющие значение для проведения оценки соблюдения контролируемым лицом обязательных требований (далее - объяснения).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Контро</w:t>
      </w:r>
      <w:r>
        <w:t>лируемое лицо или его представитель, свидетель представляют должностному лицу, уполномоченному на проведение выездной проверки, письменные объяснения в свободной форме в установленный для представления таких объяснений срок.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45. Должностное лицо контрольно</w:t>
      </w:r>
      <w:r>
        <w:t>го органа, уполномоченное на проведение выездной проверки, в том числе с использованием средств дистанционного взаимодействия, вправе направлять контролируемому лицу требование о представлении документов (копий документов), необходимых и (или) имеющих знач</w:t>
      </w:r>
      <w:r>
        <w:t>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информации, с предоставлением доступа к ним (за исключени</w:t>
      </w:r>
      <w:r>
        <w:t xml:space="preserve">ем материалов, имеющихся в распоряжении контрольного органа и (или) размещенных на официальном сайте контролируемого лица в информационно-телекоммуникационной сети Интернет), с указанием срока представления контролируемым лицом </w:t>
      </w:r>
      <w:proofErr w:type="spellStart"/>
      <w:r>
        <w:t>истребуемых</w:t>
      </w:r>
      <w:proofErr w:type="spellEnd"/>
      <w:r>
        <w:t xml:space="preserve"> документов и мат</w:t>
      </w:r>
      <w:r>
        <w:t>ериалов, который не может быть менее 2 рабочих дней.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lastRenderedPageBreak/>
        <w:t>Перечень документов, которые могут запрашиваться контрольным органом у контролируемого лица для проведения оценки соблюдения контролируемым лицом обязательных требований, указывается в решении контрольно</w:t>
      </w:r>
      <w:r>
        <w:t>го органа о проведении выездной проверки.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Контролируемое лицо в сроки, указанные в требовании о представлении документов, направляет </w:t>
      </w:r>
      <w:proofErr w:type="spellStart"/>
      <w:r>
        <w:t>истребуемые</w:t>
      </w:r>
      <w:proofErr w:type="spellEnd"/>
      <w:r>
        <w:t xml:space="preserve"> документы и материалы в контрольный орган. Документы и материалы, содержащие информацию, составляющую государст</w:t>
      </w:r>
      <w:r>
        <w:t>венную, коммерческую, служебную 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46. При проведении выездной проверки в рамках контрольных действий в случае</w:t>
      </w:r>
      <w:r>
        <w:t xml:space="preserve"> выявления нарушений обязательных требований должностное лицо контрольного органа, уполномоченное на проведение выездной проверки, для фиксации доказательств нарушений обязательных требований вправе использовать фотосъемку, аудио- и видеозапись.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Фотосъемка</w:t>
      </w:r>
      <w:r>
        <w:t>, 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Проведение фотосъемки, аудио- и видеозаписи осуществляется с обязательным уведомлением контролируемого лица.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Фиксаци</w:t>
      </w:r>
      <w:r>
        <w:t>я нарушения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контроля, в отношении которого проводится контрольное мероприятие. Фотографирование и видео</w:t>
      </w:r>
      <w:r>
        <w:t>запись должны проводиться в условиях достаточной освещенности.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Аудио- и видеозапись в ходе проведения контрольного мероприятия осуществляется непрерывно, с уведомлением в начале и конце записи о дате, месте и времени начала и окончания осуществления записи</w:t>
      </w:r>
      <w:r>
        <w:t>. В ходе записи подробно фиксируются и указываются место и характер выявленного нарушения обязательных требований.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</w:t>
      </w:r>
      <w:r>
        <w:t>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Информация о проведении фотосъемки, аудио- и видеозаписи отражается в акте проверки.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Результаты проведения фотосъемки, аудио- и вид</w:t>
      </w:r>
      <w:r>
        <w:t>еозаписи являются приложением к акту проверки.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47. Должностное лицо контрольного органа, уполномоченное на проведение выездной проверки, для оценки соблюдения контролируемым лицом обязательных требований, вправе проводить инструментальное обследование с ис</w:t>
      </w:r>
      <w:r>
        <w:t>пользованием специального оборудования и (или) технических приборов.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Инструментальное обследование осуществляется должностным лицом контрольного органа, уполномоченным на проведение выездной проверки, или специалистом, имеющими допуск к работе на специальн</w:t>
      </w:r>
      <w:r>
        <w:t>ом оборудовании, использованию технических приборов.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По результатам инструментального обследования должностным лицом контрольного органа, уполномоченным на проведение выездной проверки, или специалистом составляется протокол </w:t>
      </w:r>
      <w:r>
        <w:lastRenderedPageBreak/>
        <w:t>инструментального обследования,</w:t>
      </w:r>
      <w:r>
        <w:t xml:space="preserve"> в котором указываются дата и место его составления, должность, фамилия и инициалы должностного лица контрольного органа или специалиста, составивших протокол, сведения о контролируемом лице, предмет обследования, используемые специальное оборудование и (и</w:t>
      </w:r>
      <w:r>
        <w:t>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устано</w:t>
      </w:r>
      <w:r>
        <w:t>вленным нормам, иные сведения, имеющие значение для оценки результатов инструментального обследования.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48. Должностное лицо контрольного органа, уполномоченное на проведение выездной проверки, по окончании проведения выездной проверки составляет акт выездн</w:t>
      </w:r>
      <w:r>
        <w:t>ой проверки. Документы и иные материалы, являющиеся доказательствами нарушения обязательных требований, приобщаются к акту выездной проверки.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49. Оформление акта выездной проверки производится на месте проведения выездной проверки в день окончания проведен</w:t>
      </w:r>
      <w:r>
        <w:t>ия выездной проверки.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акт выездной проверки оформляется</w:t>
      </w:r>
      <w:r>
        <w:t xml:space="preserve"> по месту нахождения контрольного органа в день окончания проведения выездной проверки.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Акт выездной проверки направляется в органы прокуратуры с использованием Единого реестра контрольных мероприятий непосредственно после его оформления.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50. Контролируемо</w:t>
      </w:r>
      <w:r>
        <w:t xml:space="preserve">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</w:t>
      </w:r>
      <w:hyperlink r:id="rId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90.2</w:t>
        </w:r>
      </w:hyperlink>
      <w:r>
        <w:t xml:space="preserve"> Федерального закона N 248-ФЗ.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</w:t>
      </w:r>
      <w:r>
        <w:t>твом Российской Федерации.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51. При осуществлении муниципального жилищного контроля контрольным органом может выдаваться предписание об устранении выявленных нарушений обязательных требований, с указанием разумных сроков их устранения.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Предписание об устранении выявленных нарушений обязательных требований выдается в порядке, определенном </w:t>
      </w:r>
      <w:hyperlink r:id="rId2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Контрольный орган осуществляет </w:t>
      </w:r>
      <w:r>
        <w:t>контроль за исполнением предписаний об устранении выявленных нарушений обязательных требований, иных решений контрольного органа.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52. По истечении срока исполнения контролируемым лицом предписания об устранении выявленных нарушений либо при представлении к</w:t>
      </w:r>
      <w:r>
        <w:t>онтролируемым лицом до истечения указанного срока документов и сведений, представление которых установлено предписанием об устранении выявленных нарушений, контрольный орган оценивает исполнение предписания об устранении выявленных нарушений на основании п</w:t>
      </w:r>
      <w:r>
        <w:t xml:space="preserve">редставленных документов и сведений, полученной информации. Если указанные документы и сведения контролируемым лицом не представлены или на их основании невозможно сделать вывод об исполнении предписания об устранении </w:t>
      </w:r>
      <w:r>
        <w:lastRenderedPageBreak/>
        <w:t>выявленных нарушений, контрольный орга</w:t>
      </w:r>
      <w:r>
        <w:t>н оценивает исполнение предписания об устранении выявленных нарушений путем проведения одного из контрольных мероприятий, предусмотренных настоящим Положением. В случае, если проводится оценка исполнения предписания об устранении выявленных нарушений, выда</w:t>
      </w:r>
      <w:r>
        <w:t>нного по итогам выездной проверки, проводится выездная проверка.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53. В случае, если по итогам проведения контрольного мероприятия контрольным органом будет установлено, что предписание об устранении выявленных нарушений не исполнено или исполнено ненадлежа</w:t>
      </w:r>
      <w:r>
        <w:t>щим образом, он вновь выдает контролируемому лицу предписание об устранении выявленных нарушений с указанием новых сроков его исполнения. При неисполнении предписания об устранении выявленных нарушений в установленные сроки контрольный орган принимает меры</w:t>
      </w:r>
      <w:r>
        <w:t xml:space="preserve"> по обеспечению его исполнения вплоть до обращения в суд с требованием о принудительном исполнении предписания об устранении выявленных нарушений.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54. Контрольный орган вправе обратиться в суд с заявлениями: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</w:t>
      </w:r>
      <w:r>
        <w:t xml:space="preserve">кооператива с нарушением требований Жилищного </w:t>
      </w:r>
      <w:hyperlink r:id="rId2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</w:t>
      </w:r>
      <w:r>
        <w:t xml:space="preserve">такого товарищества или такого кооператива, внесенных в устав такого товарищества или такого кооператива изменений требованиям Жилищного </w:t>
      </w:r>
      <w:hyperlink r:id="rId2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</w:t>
      </w:r>
      <w:r>
        <w:t xml:space="preserve">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</w:t>
      </w:r>
      <w:hyperlink r:id="rId2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о выборе управляющей организации, об утверждении условий договора управления многоквартирным домом и о его заключении, о заключе</w:t>
      </w:r>
      <w:r>
        <w:t>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</w:t>
      </w:r>
      <w:r>
        <w:t>вий указанных договоров;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</w:t>
      </w:r>
      <w:r>
        <w:t>чае выявления нарушения обязательных требований;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</w:t>
      </w:r>
      <w:r>
        <w:t xml:space="preserve">обязательным требованиям, установленным Жилищным </w:t>
      </w:r>
      <w:hyperlink r:id="rId2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</w:t>
        </w:r>
        <w:r>
          <w:rPr>
            <w:color w:val="0000FF"/>
          </w:rPr>
          <w:t>ксом</w:t>
        </w:r>
      </w:hyperlink>
      <w:r>
        <w:t xml:space="preserve"> Российской Федерации;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6) о понуждении к исполнению предписания.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lastRenderedPageBreak/>
        <w:t>55. 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</w:t>
      </w:r>
      <w:r>
        <w:t xml:space="preserve"> обжалование: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решений о проведении контрольных мероприятий и обязательных профилактических визитов;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3) действий (бездействия) должн</w:t>
      </w:r>
      <w:r>
        <w:t>остных лиц контрольного органа в рамках контрольных мероприятий и обязательных профилактических визитов;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4) решений об отнесении объектов контроля к соответствующей категории риска;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5) решений об отказе в проведении обязательных профилактических визитов по</w:t>
      </w:r>
      <w:r>
        <w:t xml:space="preserve"> заявлениям контролируемых лиц;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 xml:space="preserve">6) иных решений, принимаемых контрольными органами по итогам профилактических и (или) контрольных мероприятий, предусмотренных Федеральным </w:t>
      </w:r>
      <w:hyperlink r:id="rId3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в отношени</w:t>
      </w:r>
      <w:r>
        <w:t>и контролируемых лиц или объектов контроля.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56. Жалоба подается контролируемым лицом в контрольный орган.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Жалоба на решение контрольного органа, действия (бездействие) должностных лиц контрольного органа рассматривается руководителем (заместителем руководи</w:t>
      </w:r>
      <w:r>
        <w:t>теля) контрольного органа.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57. Жалоба на решение, действия (бездействие) должностных лиц контрольного органа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Жалоба на п</w:t>
      </w:r>
      <w:r>
        <w:t>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58. Жалоба, содержащая сведения и документы, составляющие государственную или иную охраняемую законом тайну, подается контролир</w:t>
      </w:r>
      <w:r>
        <w:t>уемым лицом без использования единого портала государственных и муниципальных услуг в порядке, предусмотренном законодательством Российской Федерации о государственной и иной охраняемой законом тайне.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59. Лицо, подавшее жалобу, до принятия решения по жалоб</w:t>
      </w:r>
      <w:r>
        <w:t>е может отозвать ее. При этом повторное направление жалобы по тем же основаниям не допускается.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60. Уполномоченный на рассмотрение жалобы орган в срок не позднее 2 рабочих дней со дня регистрации жалобы принимает решение: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1) о приостановлении исполнения об</w:t>
      </w:r>
      <w:r>
        <w:t>жалуемого решения контрольного органа;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2) об отказе в приостановлении исполнения обжалуемого решения контрольного органа.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61. Информация о решении, указанном в пункте 60 настоящего Положения, направляется лицу, подавшему жалобу, в течение одного рабочего дня с момента принятия решения.</w:t>
      </w:r>
    </w:p>
    <w:p w:rsidR="009D7DF1" w:rsidRDefault="009D7DF1">
      <w:pPr>
        <w:pStyle w:val="ConsPlusNormal0"/>
        <w:jc w:val="both"/>
      </w:pPr>
    </w:p>
    <w:p w:rsidR="009D7DF1" w:rsidRDefault="009D7DF1">
      <w:pPr>
        <w:pStyle w:val="ConsPlusNormal0"/>
        <w:jc w:val="both"/>
      </w:pPr>
    </w:p>
    <w:p w:rsidR="009D7DF1" w:rsidRDefault="009D7DF1">
      <w:pPr>
        <w:pStyle w:val="ConsPlusNormal0"/>
        <w:jc w:val="both"/>
      </w:pPr>
    </w:p>
    <w:p w:rsidR="009D7DF1" w:rsidRDefault="009D7DF1">
      <w:pPr>
        <w:pStyle w:val="ConsPlusNormal0"/>
        <w:jc w:val="both"/>
      </w:pPr>
    </w:p>
    <w:p w:rsidR="009D7DF1" w:rsidRDefault="009D7DF1">
      <w:pPr>
        <w:pStyle w:val="ConsPlusNormal0"/>
        <w:jc w:val="both"/>
      </w:pPr>
    </w:p>
    <w:p w:rsidR="009D7DF1" w:rsidRDefault="00840837">
      <w:pPr>
        <w:pStyle w:val="ConsPlusNormal0"/>
        <w:jc w:val="right"/>
        <w:outlineLvl w:val="1"/>
      </w:pPr>
      <w:r>
        <w:t>Приложение</w:t>
      </w:r>
    </w:p>
    <w:p w:rsidR="009D7DF1" w:rsidRDefault="00840837">
      <w:pPr>
        <w:pStyle w:val="ConsPlusNormal0"/>
        <w:jc w:val="right"/>
      </w:pPr>
      <w:r>
        <w:t>к Положению о муниципальном</w:t>
      </w:r>
    </w:p>
    <w:p w:rsidR="009D7DF1" w:rsidRDefault="00840837">
      <w:pPr>
        <w:pStyle w:val="ConsPlusNormal0"/>
        <w:jc w:val="right"/>
      </w:pPr>
      <w:r>
        <w:t>жилищном контроле в городе Твери</w:t>
      </w:r>
    </w:p>
    <w:p w:rsidR="009D7DF1" w:rsidRDefault="009D7DF1">
      <w:pPr>
        <w:pStyle w:val="ConsPlusNormal0"/>
        <w:jc w:val="both"/>
      </w:pPr>
    </w:p>
    <w:p w:rsidR="009D7DF1" w:rsidRDefault="00840837">
      <w:pPr>
        <w:pStyle w:val="ConsPlusTitle0"/>
        <w:jc w:val="center"/>
      </w:pPr>
      <w:bookmarkStart w:id="4" w:name="P249"/>
      <w:bookmarkEnd w:id="4"/>
      <w:r>
        <w:t>Критерии</w:t>
      </w:r>
    </w:p>
    <w:p w:rsidR="009D7DF1" w:rsidRDefault="00840837">
      <w:pPr>
        <w:pStyle w:val="ConsPlusTitle0"/>
        <w:jc w:val="center"/>
      </w:pPr>
      <w:r>
        <w:t>отне</w:t>
      </w:r>
      <w:r>
        <w:t>сения объектов контроля к категориям риска</w:t>
      </w:r>
    </w:p>
    <w:p w:rsidR="009D7DF1" w:rsidRDefault="00840837">
      <w:pPr>
        <w:pStyle w:val="ConsPlusTitle0"/>
        <w:jc w:val="center"/>
      </w:pPr>
      <w:r>
        <w:t>причинения вреда (ущерба) охраняемым законом ценностям</w:t>
      </w:r>
    </w:p>
    <w:p w:rsidR="009D7DF1" w:rsidRDefault="00840837">
      <w:pPr>
        <w:pStyle w:val="ConsPlusTitle0"/>
        <w:jc w:val="center"/>
      </w:pPr>
      <w:r>
        <w:t>при осуществлении муниципального жилищного контроля</w:t>
      </w:r>
    </w:p>
    <w:p w:rsidR="009D7DF1" w:rsidRDefault="009D7DF1">
      <w:pPr>
        <w:pStyle w:val="ConsPlusNormal0"/>
        <w:jc w:val="both"/>
      </w:pPr>
    </w:p>
    <w:p w:rsidR="009D7DF1" w:rsidRDefault="00840837">
      <w:pPr>
        <w:pStyle w:val="ConsPlusNormal0"/>
        <w:ind w:firstLine="540"/>
        <w:jc w:val="both"/>
      </w:pPr>
      <w:r>
        <w:t>1. Критерии отнесения объектов контроля к категориям риска причинения вреда (ущерба) охраняемым законом ц</w:t>
      </w:r>
      <w:r>
        <w:t>енностям при осуществлении муниципального жилищного контроля (далее - Критерии) учитывают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</w:t>
      </w:r>
      <w:r>
        <w:t>м законом ценностям.</w:t>
      </w:r>
    </w:p>
    <w:p w:rsidR="009D7DF1" w:rsidRDefault="00840837">
      <w:pPr>
        <w:pStyle w:val="ConsPlusNormal0"/>
        <w:spacing w:before="240"/>
        <w:ind w:firstLine="540"/>
        <w:jc w:val="both"/>
      </w:pPr>
      <w:bookmarkStart w:id="5" w:name="P255"/>
      <w:bookmarkEnd w:id="5"/>
      <w:r>
        <w:t>2. По тяжести и масштабу потенциальных негативных последствий несоблюдения контролируемыми лицами обязательных требований, установленных жилищным законодательством, законодательством об энергосбережении и о повышении энергетической эфф</w:t>
      </w:r>
      <w:r>
        <w:t>ективности, законодательством о газоснабжении в Российской Федерации, в отношении муниципального жилищного фонда, деятельность, действия (бездействие) контролируемых лиц, подлежащая муниципальному жилищному контролю, разделяется на группы тяжести "А" и "Б"</w:t>
      </w:r>
      <w:r>
        <w:t xml:space="preserve"> (далее - группа тяжести).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3. К группе тяжести "А" относится деятельность, действия (бездействие) контролируемых по управлению многоквартирными домами, оказанию услуг и (или) выполнению работ по содержанию и ремонту общего имущества в многоквартирных домах</w:t>
      </w:r>
      <w:r>
        <w:t xml:space="preserve">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4. В иных случ</w:t>
      </w:r>
      <w:r>
        <w:t>аях деятельность контролируемых лиц относится к группе тяжести "Б".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5. С учетом оценки вероятности несоблюдения контролируемыми лицами обязательных требований деятельность, действия (бездействие) контролируемых лиц, подлежащая муниципальному жилищному конт</w:t>
      </w:r>
      <w:r>
        <w:t>ролю, разделяется на группы вероятности "1" и "2" (далее - группа вероятности).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6. К группе вероятности "1"</w:t>
      </w:r>
      <w:r>
        <w:t xml:space="preserve"> относится деятельность, действия (бездействие) контролируемых лиц при наличии вступившего в законную силу в течение последних трех лет на дату принятия решения об отнесении деятельности, действий (бездействия) контролируемых лиц к категории риска причинен</w:t>
      </w:r>
      <w:r>
        <w:t>ия вреда (ущерба) охраняемым законом ценностям при осуществлении муниципального жилищного контроля, постановления о назначении административного наказания контролируемому лицу, его должностным лицам за совершение административного правонарушения, предусмот</w:t>
      </w:r>
      <w:r>
        <w:t xml:space="preserve">ренного </w:t>
      </w:r>
      <w:hyperlink r:id="rId31" w:tooltip="&quot;Кодекс Российской Федерации об административных правонарушениях&quot; от 30.12.2001 N 195-ФЗ (ред. от 23.05.2025) (с изм. и доп., вступ. в силу с 01.06.2025) ------------ Недействующая редакция {КонсультантПлюс}">
        <w:r>
          <w:rPr>
            <w:color w:val="0000FF"/>
          </w:rPr>
          <w:t>частью 1 статьи 19.4</w:t>
        </w:r>
      </w:hyperlink>
      <w:r>
        <w:t xml:space="preserve">, </w:t>
      </w:r>
      <w:hyperlink r:id="rId32" w:tooltip="&quot;Кодекс Российской Федерации об административных правонарушениях&quot; от 30.12.2001 N 195-ФЗ (ред. от 23.05.2025) (с изм. и доп., вступ. в силу с 01.06.2025) ------------ Недействующая редакция {КонсультантПлюс}">
        <w:r>
          <w:rPr>
            <w:color w:val="0000FF"/>
          </w:rPr>
          <w:t>статьей 19.4.1</w:t>
        </w:r>
      </w:hyperlink>
      <w:r>
        <w:t xml:space="preserve">, </w:t>
      </w:r>
      <w:hyperlink r:id="rId33" w:tooltip="&quot;Кодекс Российской Федерации об административных правонарушениях&quot; от 30.12.2001 N 195-ФЗ (ред. от 23.05.2025) (с изм. и доп., вступ. в силу с 01.06.2025) ------------ Недействующая редакция {КонсультантПлюс}">
        <w:r>
          <w:rPr>
            <w:color w:val="0000FF"/>
          </w:rPr>
          <w:t>частью 1 статьи 19.5</w:t>
        </w:r>
      </w:hyperlink>
      <w:r>
        <w:t xml:space="preserve">, </w:t>
      </w:r>
      <w:hyperlink r:id="rId34" w:tooltip="&quot;Кодекс Российской Федерации об административных правонарушениях&quot; от 30.12.2001 N 195-ФЗ (ред. от 23.05.2025) (с изм. и доп., вступ. в силу с 01.06.2025) ------------ Недействующая редакция {КонсультантПлюс}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lastRenderedPageBreak/>
        <w:t>7. К группе вероятности "2" относится деятельность, действия (бездейств</w:t>
      </w:r>
      <w:r>
        <w:t xml:space="preserve">ие) контролируемых лиц, у которых в течение последних трех лет при проведении внепланового контрольного мероприятия не были выявлены нарушения обязательных требований, указанных в </w:t>
      </w:r>
      <w:hyperlink w:anchor="P255" w:tooltip="2. По тяжести и масштабу потенциальных негативных последствий несоблюдения контролируемыми лиц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">
        <w:r>
          <w:rPr>
            <w:color w:val="0000FF"/>
          </w:rPr>
          <w:t>пункте 2</w:t>
        </w:r>
      </w:hyperlink>
      <w:r>
        <w:t xml:space="preserve"> настоящих Критериев.</w:t>
      </w:r>
    </w:p>
    <w:p w:rsidR="009D7DF1" w:rsidRDefault="00840837">
      <w:pPr>
        <w:pStyle w:val="ConsPlusNormal0"/>
        <w:spacing w:before="240"/>
        <w:ind w:firstLine="540"/>
        <w:jc w:val="both"/>
      </w:pPr>
      <w:r>
        <w:t>8. Отнесе</w:t>
      </w:r>
      <w:r>
        <w:t>ние деятельности, действий (бездействия) контролируемых лиц к определенной категории риска причинения вреда (ущерба) охраняемым законом ценностям основывается на соотнесении группы тяжести и группы вероятности.</w:t>
      </w:r>
    </w:p>
    <w:p w:rsidR="009D7DF1" w:rsidRDefault="009D7D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8"/>
        <w:gridCol w:w="2721"/>
        <w:gridCol w:w="3472"/>
      </w:tblGrid>
      <w:tr w:rsidR="009D7DF1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Категория риска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Группа тяжести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Группа вероятности</w:t>
            </w:r>
          </w:p>
        </w:tc>
      </w:tr>
      <w:tr w:rsidR="009D7DF1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Высокий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1</w:t>
            </w:r>
          </w:p>
        </w:tc>
      </w:tr>
      <w:tr w:rsidR="009D7DF1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Средний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2</w:t>
            </w:r>
          </w:p>
        </w:tc>
      </w:tr>
      <w:tr w:rsidR="009D7DF1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Умеренный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1</w:t>
            </w:r>
          </w:p>
        </w:tc>
      </w:tr>
      <w:tr w:rsidR="009D7DF1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Низкий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9D7DF1" w:rsidRDefault="00840837">
            <w:pPr>
              <w:pStyle w:val="ConsPlusNormal0"/>
              <w:jc w:val="center"/>
            </w:pPr>
            <w:r>
              <w:t>2</w:t>
            </w:r>
          </w:p>
        </w:tc>
      </w:tr>
    </w:tbl>
    <w:p w:rsidR="009D7DF1" w:rsidRDefault="009D7DF1">
      <w:pPr>
        <w:pStyle w:val="ConsPlusNormal0"/>
        <w:jc w:val="both"/>
      </w:pPr>
    </w:p>
    <w:p w:rsidR="009D7DF1" w:rsidRDefault="009D7DF1">
      <w:pPr>
        <w:pStyle w:val="ConsPlusNormal0"/>
        <w:jc w:val="both"/>
      </w:pPr>
    </w:p>
    <w:p w:rsidR="009D7DF1" w:rsidRDefault="009D7D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D7DF1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837" w:rsidRDefault="00840837">
      <w:r>
        <w:separator/>
      </w:r>
    </w:p>
  </w:endnote>
  <w:endnote w:type="continuationSeparator" w:id="0">
    <w:p w:rsidR="00840837" w:rsidRDefault="0084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DF1" w:rsidRDefault="009D7DF1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DF1" w:rsidRDefault="009D7DF1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837" w:rsidRDefault="00840837">
      <w:r>
        <w:separator/>
      </w:r>
    </w:p>
  </w:footnote>
  <w:footnote w:type="continuationSeparator" w:id="0">
    <w:p w:rsidR="00840837" w:rsidRDefault="0084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DF1" w:rsidRDefault="009D7DF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DF1" w:rsidRDefault="009D7DF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DF1"/>
    <w:rsid w:val="00840837"/>
    <w:rsid w:val="009D7DF1"/>
    <w:rsid w:val="00E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1E992-8CC7-4A31-9A14-AB055F7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D27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721"/>
  </w:style>
  <w:style w:type="paragraph" w:styleId="a5">
    <w:name w:val="footer"/>
    <w:basedOn w:val="a"/>
    <w:link w:val="a6"/>
    <w:uiPriority w:val="99"/>
    <w:unhideWhenUsed/>
    <w:rsid w:val="00ED27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984&amp;date=13.02.2026&amp;dst=100315&amp;field=134" TargetMode="External"/><Relationship Id="rId18" Type="http://schemas.openxmlformats.org/officeDocument/2006/relationships/hyperlink" Target="https://login.consultant.ru/link/?req=doc&amp;base=LAW&amp;n=508984&amp;date=13.02.2026&amp;dst=101391&amp;field=134" TargetMode="External"/><Relationship Id="rId26" Type="http://schemas.openxmlformats.org/officeDocument/2006/relationships/hyperlink" Target="https://login.consultant.ru/link/?req=doc&amp;base=LAW&amp;n=523355&amp;date=13.02.202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508984&amp;date=13.02.2026&amp;dst=101415&amp;field=134" TargetMode="External"/><Relationship Id="rId34" Type="http://schemas.openxmlformats.org/officeDocument/2006/relationships/hyperlink" Target="https://login.consultant.ru/link/?req=doc&amp;base=LAW&amp;n=500101&amp;date=13.02.2026&amp;dst=101624&amp;field=134" TargetMode="External"/><Relationship Id="rId7" Type="http://schemas.openxmlformats.org/officeDocument/2006/relationships/hyperlink" Target="https://login.consultant.ru/link/?req=doc&amp;base=RLAW436&amp;n=117657&amp;date=13.02.2026&amp;dst=100005&amp;field=134" TargetMode="External"/><Relationship Id="rId12" Type="http://schemas.openxmlformats.org/officeDocument/2006/relationships/hyperlink" Target="https://login.consultant.ru/link/?req=doc&amp;base=RLAW436&amp;n=128659&amp;date=13.02.2026&amp;dst=100005&amp;field=134" TargetMode="External"/><Relationship Id="rId17" Type="http://schemas.openxmlformats.org/officeDocument/2006/relationships/hyperlink" Target="https://login.consultant.ru/link/?req=doc&amp;base=LAW&amp;n=508984&amp;date=13.02.2026&amp;dst=101366&amp;field=134" TargetMode="External"/><Relationship Id="rId25" Type="http://schemas.openxmlformats.org/officeDocument/2006/relationships/hyperlink" Target="https://login.consultant.ru/link/?req=doc&amp;base=LAW&amp;n=508984&amp;date=13.02.2026&amp;dst=101482&amp;field=134" TargetMode="External"/><Relationship Id="rId33" Type="http://schemas.openxmlformats.org/officeDocument/2006/relationships/hyperlink" Target="https://login.consultant.ru/link/?req=doc&amp;base=LAW&amp;n=500101&amp;date=13.02.2026&amp;dst=5267&amp;field=134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984&amp;date=13.02.2026&amp;dst=100547&amp;field=134" TargetMode="External"/><Relationship Id="rId20" Type="http://schemas.openxmlformats.org/officeDocument/2006/relationships/hyperlink" Target="https://login.consultant.ru/link/?req=doc&amp;base=LAW&amp;n=508984&amp;date=13.02.2026&amp;dst=101416&amp;field=134" TargetMode="External"/><Relationship Id="rId29" Type="http://schemas.openxmlformats.org/officeDocument/2006/relationships/hyperlink" Target="https://login.consultant.ru/link/?req=doc&amp;base=LAW&amp;n=523355&amp;date=13.02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16484&amp;date=13.02.2026&amp;dst=100005&amp;field=134" TargetMode="External"/><Relationship Id="rId11" Type="http://schemas.openxmlformats.org/officeDocument/2006/relationships/hyperlink" Target="https://login.consultant.ru/link/?req=doc&amp;base=RLAW436&amp;n=127972&amp;date=13.02.2026&amp;dst=100648&amp;field=134" TargetMode="External"/><Relationship Id="rId24" Type="http://schemas.openxmlformats.org/officeDocument/2006/relationships/hyperlink" Target="https://login.consultant.ru/link/?req=doc&amp;base=LAW&amp;n=508984&amp;date=13.02.2026&amp;dst=101491&amp;field=134" TargetMode="External"/><Relationship Id="rId32" Type="http://schemas.openxmlformats.org/officeDocument/2006/relationships/hyperlink" Target="https://login.consultant.ru/link/?req=doc&amp;base=LAW&amp;n=500101&amp;date=13.02.2026&amp;dst=7996&amp;field=134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www.tver.ru" TargetMode="External"/><Relationship Id="rId23" Type="http://schemas.openxmlformats.org/officeDocument/2006/relationships/hyperlink" Target="https://login.consultant.ru/link/?req=doc&amp;base=LAW&amp;n=508984&amp;date=13.02.2026" TargetMode="External"/><Relationship Id="rId28" Type="http://schemas.openxmlformats.org/officeDocument/2006/relationships/hyperlink" Target="https://login.consultant.ru/link/?req=doc&amp;base=LAW&amp;n=523355&amp;date=13.02.2026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8984&amp;date=13.02.2026&amp;dst=100088&amp;field=134" TargetMode="External"/><Relationship Id="rId19" Type="http://schemas.openxmlformats.org/officeDocument/2006/relationships/hyperlink" Target="https://login.consultant.ru/link/?req=doc&amp;base=RLAW436&amp;n=128659&amp;date=13.02.2026&amp;dst=100007&amp;field=134" TargetMode="External"/><Relationship Id="rId31" Type="http://schemas.openxmlformats.org/officeDocument/2006/relationships/hyperlink" Target="https://login.consultant.ru/link/?req=doc&amp;base=LAW&amp;n=500101&amp;date=13.02.2026&amp;dst=799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55&amp;date=13.02.2026&amp;dst=1018&amp;field=134" TargetMode="External"/><Relationship Id="rId14" Type="http://schemas.openxmlformats.org/officeDocument/2006/relationships/hyperlink" Target="https://login.consultant.ru/link/?req=doc&amp;base=LAW&amp;n=508984&amp;date=13.02.2026" TargetMode="External"/><Relationship Id="rId22" Type="http://schemas.openxmlformats.org/officeDocument/2006/relationships/hyperlink" Target="https://login.consultant.ru/link/?req=doc&amp;base=LAW&amp;n=508984&amp;date=13.02.2026&amp;dst=101267&amp;field=134" TargetMode="External"/><Relationship Id="rId27" Type="http://schemas.openxmlformats.org/officeDocument/2006/relationships/hyperlink" Target="https://login.consultant.ru/link/?req=doc&amp;base=LAW&amp;n=523355&amp;date=13.02.2026" TargetMode="External"/><Relationship Id="rId30" Type="http://schemas.openxmlformats.org/officeDocument/2006/relationships/hyperlink" Target="https://login.consultant.ru/link/?req=doc&amp;base=LAW&amp;n=508984&amp;date=13.02.2026" TargetMode="External"/><Relationship Id="rId35" Type="http://schemas.openxmlformats.org/officeDocument/2006/relationships/header" Target="header1.xml"/><Relationship Id="rId8" Type="http://schemas.openxmlformats.org/officeDocument/2006/relationships/hyperlink" Target="https://login.consultant.ru/link/?req=doc&amp;base=RLAW436&amp;n=128659&amp;date=13.02.2026&amp;dst=100005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8259</Words>
  <Characters>47082</Characters>
  <Application>Microsoft Office Word</Application>
  <DocSecurity>0</DocSecurity>
  <Lines>392</Lines>
  <Paragraphs>110</Paragraphs>
  <ScaleCrop>false</ScaleCrop>
  <Company>КонсультантПлюс Версия 4025.00.30</Company>
  <LinksUpToDate>false</LinksUpToDate>
  <CharactersWithSpaces>55231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01.12.2021 N 258
(ред. от 22.05.2025)
"Об утверждении Положения о муниципальном жилищном контроле в городе Твери"</dc:title>
  <cp:lastModifiedBy>Ким Екатерина Игоревна</cp:lastModifiedBy>
  <cp:revision>2</cp:revision>
  <dcterms:created xsi:type="dcterms:W3CDTF">2026-02-13T11:17:00Z</dcterms:created>
  <dcterms:modified xsi:type="dcterms:W3CDTF">2026-02-13T11:24:00Z</dcterms:modified>
</cp:coreProperties>
</file>