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F6" w:rsidRPr="00081D58" w:rsidRDefault="00283CE5" w:rsidP="00D80ECF">
      <w:pPr>
        <w:ind w:left="5812" w:firstLine="2"/>
        <w:jc w:val="right"/>
        <w:rPr>
          <w:sz w:val="24"/>
          <w:szCs w:val="24"/>
        </w:rPr>
      </w:pPr>
      <w:r w:rsidRPr="00081D58">
        <w:rPr>
          <w:sz w:val="24"/>
          <w:szCs w:val="24"/>
        </w:rPr>
        <w:t xml:space="preserve">Приложение </w:t>
      </w:r>
    </w:p>
    <w:p w:rsidR="00283CE5" w:rsidRPr="00081D58" w:rsidRDefault="00283CE5" w:rsidP="00D80ECF">
      <w:pPr>
        <w:ind w:left="4536" w:firstLine="2"/>
        <w:jc w:val="right"/>
        <w:rPr>
          <w:sz w:val="24"/>
          <w:szCs w:val="24"/>
        </w:rPr>
      </w:pPr>
      <w:r w:rsidRPr="00081D58">
        <w:rPr>
          <w:sz w:val="24"/>
          <w:szCs w:val="24"/>
        </w:rPr>
        <w:t xml:space="preserve">к постановлению администрации </w:t>
      </w:r>
      <w:r w:rsidR="004A2BF6" w:rsidRPr="00081D58">
        <w:rPr>
          <w:sz w:val="24"/>
          <w:szCs w:val="24"/>
        </w:rPr>
        <w:t>г</w:t>
      </w:r>
      <w:r w:rsidRPr="00081D58">
        <w:rPr>
          <w:sz w:val="24"/>
          <w:szCs w:val="24"/>
        </w:rPr>
        <w:t>орода Твери</w:t>
      </w:r>
    </w:p>
    <w:p w:rsidR="00283CE5" w:rsidRPr="00081D58" w:rsidRDefault="00283CE5" w:rsidP="00D80ECF">
      <w:pPr>
        <w:ind w:left="3969"/>
        <w:jc w:val="center"/>
        <w:rPr>
          <w:sz w:val="24"/>
          <w:szCs w:val="24"/>
        </w:rPr>
      </w:pPr>
      <w:r w:rsidRPr="00081D58">
        <w:rPr>
          <w:sz w:val="24"/>
          <w:szCs w:val="24"/>
        </w:rPr>
        <w:t xml:space="preserve">   </w:t>
      </w:r>
      <w:r w:rsidR="00D80ECF" w:rsidRPr="00081D58">
        <w:rPr>
          <w:sz w:val="24"/>
          <w:szCs w:val="24"/>
        </w:rPr>
        <w:t xml:space="preserve">    </w:t>
      </w:r>
      <w:r w:rsidRPr="00081D58">
        <w:rPr>
          <w:sz w:val="24"/>
          <w:szCs w:val="24"/>
        </w:rPr>
        <w:t xml:space="preserve">              от «____»  ___________ 201</w:t>
      </w:r>
      <w:r w:rsidR="00EF78C0" w:rsidRPr="00081D58">
        <w:rPr>
          <w:sz w:val="24"/>
          <w:szCs w:val="24"/>
        </w:rPr>
        <w:t>9</w:t>
      </w:r>
      <w:r w:rsidRPr="00081D58">
        <w:rPr>
          <w:sz w:val="24"/>
          <w:szCs w:val="24"/>
        </w:rPr>
        <w:t xml:space="preserve">  №  _____</w:t>
      </w:r>
    </w:p>
    <w:p w:rsidR="00786533" w:rsidRPr="00081D58" w:rsidRDefault="00786533" w:rsidP="00D80ECF">
      <w:pPr>
        <w:spacing w:line="288" w:lineRule="auto"/>
        <w:rPr>
          <w:color w:val="FFFFFF" w:themeColor="background1"/>
          <w:sz w:val="24"/>
          <w:szCs w:val="24"/>
        </w:rPr>
      </w:pPr>
    </w:p>
    <w:p w:rsidR="00A472C7" w:rsidRPr="00EF78C0" w:rsidRDefault="006C6249" w:rsidP="00D80ECF">
      <w:pPr>
        <w:tabs>
          <w:tab w:val="left" w:pos="7350"/>
        </w:tabs>
        <w:jc w:val="center"/>
        <w:rPr>
          <w:b/>
          <w:sz w:val="24"/>
          <w:szCs w:val="24"/>
        </w:rPr>
      </w:pPr>
      <w:r w:rsidRPr="00EF78C0">
        <w:rPr>
          <w:b/>
          <w:sz w:val="24"/>
          <w:szCs w:val="24"/>
        </w:rPr>
        <w:t>Прогноз социально–экономического развития города Твери</w:t>
      </w:r>
      <w:r w:rsidR="003A0021" w:rsidRPr="00EF78C0">
        <w:rPr>
          <w:b/>
          <w:sz w:val="24"/>
          <w:szCs w:val="24"/>
        </w:rPr>
        <w:br/>
      </w:r>
      <w:r w:rsidRPr="00EF78C0">
        <w:rPr>
          <w:b/>
          <w:sz w:val="24"/>
          <w:szCs w:val="24"/>
        </w:rPr>
        <w:t>на долгосрочный период до 20</w:t>
      </w:r>
      <w:r w:rsidR="00971048" w:rsidRPr="00EF78C0">
        <w:rPr>
          <w:b/>
          <w:sz w:val="24"/>
          <w:szCs w:val="24"/>
        </w:rPr>
        <w:t>2</w:t>
      </w:r>
      <w:r w:rsidR="00EF78C0">
        <w:rPr>
          <w:b/>
          <w:sz w:val="24"/>
          <w:szCs w:val="24"/>
        </w:rPr>
        <w:t>5</w:t>
      </w:r>
      <w:r w:rsidRPr="00EF78C0">
        <w:rPr>
          <w:b/>
          <w:sz w:val="24"/>
          <w:szCs w:val="24"/>
        </w:rPr>
        <w:t xml:space="preserve"> года </w:t>
      </w:r>
    </w:p>
    <w:p w:rsidR="00CF75B6" w:rsidRPr="00EF78C0" w:rsidRDefault="00CF75B6" w:rsidP="00D80ECF">
      <w:pPr>
        <w:pStyle w:val="ConsNormal"/>
        <w:spacing w:line="288" w:lineRule="auto"/>
        <w:ind w:firstLine="709"/>
        <w:jc w:val="both"/>
        <w:rPr>
          <w:rFonts w:ascii="Times New Roman" w:hAnsi="Times New Roman" w:cs="Times New Roman"/>
          <w:color w:val="003399"/>
          <w:sz w:val="24"/>
          <w:szCs w:val="24"/>
        </w:rPr>
      </w:pPr>
    </w:p>
    <w:p w:rsidR="004750AA" w:rsidRPr="00A91738" w:rsidRDefault="004750AA" w:rsidP="004750AA">
      <w:pPr>
        <w:spacing w:line="288" w:lineRule="auto"/>
        <w:ind w:firstLine="708"/>
        <w:jc w:val="both"/>
        <w:rPr>
          <w:sz w:val="24"/>
          <w:szCs w:val="24"/>
        </w:rPr>
      </w:pPr>
      <w:proofErr w:type="gramStart"/>
      <w:r w:rsidRPr="00970661">
        <w:rPr>
          <w:sz w:val="24"/>
          <w:szCs w:val="24"/>
        </w:rPr>
        <w:t xml:space="preserve">Исходной базой для разработки прогноза социально-экономического развития города Твери на долгосрочный период до 2025 года (далее - долгосрочный прогноз) являются основные положения Концепции </w:t>
      </w:r>
      <w:r w:rsidRPr="00A91738">
        <w:rPr>
          <w:sz w:val="24"/>
          <w:szCs w:val="24"/>
        </w:rPr>
        <w:t>демографической политики Российской Федерации на период до 2025 года, долгосрочный прогноз социально-экономического развития Российской Федерации до 2036 года, основные показатели и параметры прогноза социально-экономического развития Российской Федерации и Тверской области на 2020 год и на плановый период 2021</w:t>
      </w:r>
      <w:proofErr w:type="gramEnd"/>
      <w:r w:rsidRPr="00A91738">
        <w:rPr>
          <w:sz w:val="24"/>
          <w:szCs w:val="24"/>
        </w:rPr>
        <w:t xml:space="preserve"> и 2022 годов, официальные данные территориального органа Федеральной службы государственной статистики по Тверской области, сведения Управления Федеральной налоговой службы по Тверской области в динамике за ряд лет.</w:t>
      </w:r>
    </w:p>
    <w:p w:rsidR="004750AA" w:rsidRPr="00014A5E" w:rsidRDefault="004750AA" w:rsidP="004750AA">
      <w:pPr>
        <w:spacing w:line="288" w:lineRule="auto"/>
        <w:ind w:firstLine="709"/>
        <w:jc w:val="both"/>
        <w:rPr>
          <w:sz w:val="24"/>
          <w:szCs w:val="24"/>
        </w:rPr>
      </w:pPr>
      <w:r w:rsidRPr="00A91738">
        <w:rPr>
          <w:sz w:val="24"/>
          <w:szCs w:val="24"/>
        </w:rPr>
        <w:t xml:space="preserve">Долгосрочный прогноз </w:t>
      </w:r>
      <w:r>
        <w:rPr>
          <w:sz w:val="24"/>
          <w:szCs w:val="24"/>
        </w:rPr>
        <w:t xml:space="preserve">сформирован с учетом </w:t>
      </w:r>
      <w:r w:rsidR="006B2DDA">
        <w:rPr>
          <w:sz w:val="24"/>
          <w:szCs w:val="24"/>
        </w:rPr>
        <w:t xml:space="preserve">рекомендованного </w:t>
      </w:r>
      <w:r>
        <w:rPr>
          <w:sz w:val="24"/>
          <w:szCs w:val="24"/>
        </w:rPr>
        <w:t>базового варианта</w:t>
      </w:r>
      <w:r w:rsidRPr="00A91738">
        <w:rPr>
          <w:sz w:val="24"/>
          <w:szCs w:val="24"/>
        </w:rPr>
        <w:t xml:space="preserve"> </w:t>
      </w:r>
      <w:r w:rsidR="006B2DDA">
        <w:rPr>
          <w:sz w:val="24"/>
          <w:szCs w:val="24"/>
        </w:rPr>
        <w:t xml:space="preserve">развития экономики, </w:t>
      </w:r>
      <w:r w:rsidRPr="00A91738">
        <w:rPr>
          <w:sz w:val="24"/>
          <w:szCs w:val="24"/>
        </w:rPr>
        <w:t>сценарных услови</w:t>
      </w:r>
      <w:r>
        <w:rPr>
          <w:sz w:val="24"/>
          <w:szCs w:val="24"/>
        </w:rPr>
        <w:t>й</w:t>
      </w:r>
      <w:r w:rsidR="006B2DDA">
        <w:rPr>
          <w:sz w:val="24"/>
          <w:szCs w:val="24"/>
        </w:rPr>
        <w:t xml:space="preserve"> и</w:t>
      </w:r>
      <w:r w:rsidRPr="00A91738">
        <w:rPr>
          <w:sz w:val="24"/>
          <w:szCs w:val="24"/>
        </w:rPr>
        <w:t xml:space="preserve"> основных параметр</w:t>
      </w:r>
      <w:r>
        <w:rPr>
          <w:sz w:val="24"/>
          <w:szCs w:val="24"/>
        </w:rPr>
        <w:t>ов</w:t>
      </w:r>
      <w:r w:rsidRPr="00A91738">
        <w:rPr>
          <w:sz w:val="24"/>
          <w:szCs w:val="24"/>
        </w:rPr>
        <w:t xml:space="preserve"> прогноза социально-экономического развития Российской Федерации и прогнозируемых изменени</w:t>
      </w:r>
      <w:r>
        <w:rPr>
          <w:sz w:val="24"/>
          <w:szCs w:val="24"/>
        </w:rPr>
        <w:t>й</w:t>
      </w:r>
      <w:r w:rsidRPr="00A91738">
        <w:rPr>
          <w:sz w:val="24"/>
          <w:szCs w:val="24"/>
        </w:rPr>
        <w:t xml:space="preserve"> цен (тарифов) на товары, услуги хозяйствующих субъектов, осуществляющих регулируемые виды деятельности в инфраструктурном секторе на период до 2024 года</w:t>
      </w:r>
      <w:r>
        <w:rPr>
          <w:sz w:val="24"/>
          <w:szCs w:val="24"/>
        </w:rPr>
        <w:t>, разработанных Министерством экономического развития Российской Федерации</w:t>
      </w:r>
      <w:r w:rsidRPr="00A91738">
        <w:rPr>
          <w:sz w:val="24"/>
          <w:szCs w:val="24"/>
        </w:rPr>
        <w:t xml:space="preserve">. Основой </w:t>
      </w:r>
      <w:r>
        <w:rPr>
          <w:sz w:val="24"/>
          <w:szCs w:val="24"/>
        </w:rPr>
        <w:t xml:space="preserve">базового </w:t>
      </w:r>
      <w:r w:rsidRPr="00A91738">
        <w:rPr>
          <w:sz w:val="24"/>
          <w:szCs w:val="24"/>
        </w:rPr>
        <w:t>сценар</w:t>
      </w:r>
      <w:r>
        <w:rPr>
          <w:sz w:val="24"/>
          <w:szCs w:val="24"/>
        </w:rPr>
        <w:t>ия</w:t>
      </w:r>
      <w:r w:rsidRPr="00A91738">
        <w:rPr>
          <w:sz w:val="24"/>
          <w:szCs w:val="24"/>
        </w:rPr>
        <w:t xml:space="preserve"> </w:t>
      </w:r>
      <w:r>
        <w:rPr>
          <w:sz w:val="24"/>
          <w:szCs w:val="24"/>
        </w:rPr>
        <w:t xml:space="preserve">является </w:t>
      </w:r>
      <w:r w:rsidRPr="00A91738">
        <w:rPr>
          <w:sz w:val="24"/>
          <w:szCs w:val="24"/>
        </w:rPr>
        <w:t xml:space="preserve">прогноз социально-экономического развития Российской Федерации на период до 2024 года, разработанный в рамках исполнения Указа Президента Российской Федерации от </w:t>
      </w:r>
      <w:r>
        <w:rPr>
          <w:sz w:val="24"/>
          <w:szCs w:val="24"/>
        </w:rPr>
        <w:t xml:space="preserve">07.05.2018 </w:t>
      </w:r>
      <w:r w:rsidRPr="00A91738">
        <w:rPr>
          <w:sz w:val="24"/>
          <w:szCs w:val="24"/>
        </w:rPr>
        <w:t xml:space="preserve">№ 204 «О национальных целях и стратегических задачах </w:t>
      </w:r>
      <w:r w:rsidRPr="00014A5E">
        <w:rPr>
          <w:sz w:val="24"/>
          <w:szCs w:val="24"/>
        </w:rPr>
        <w:t xml:space="preserve">развития Российской Федерации на период до 2024 года». </w:t>
      </w:r>
    </w:p>
    <w:p w:rsidR="004750AA" w:rsidRPr="00EE5073" w:rsidRDefault="004750AA" w:rsidP="004750AA">
      <w:pPr>
        <w:spacing w:line="288" w:lineRule="auto"/>
        <w:ind w:firstLine="709"/>
        <w:jc w:val="both"/>
        <w:rPr>
          <w:sz w:val="24"/>
          <w:szCs w:val="24"/>
        </w:rPr>
      </w:pPr>
      <w:r w:rsidRPr="00014A5E">
        <w:rPr>
          <w:sz w:val="24"/>
          <w:szCs w:val="24"/>
        </w:rPr>
        <w:t>В качестве</w:t>
      </w:r>
      <w:r w:rsidR="006B2DDA">
        <w:rPr>
          <w:sz w:val="24"/>
          <w:szCs w:val="24"/>
        </w:rPr>
        <w:t xml:space="preserve"> исходных д</w:t>
      </w:r>
      <w:r w:rsidRPr="00014A5E">
        <w:rPr>
          <w:sz w:val="24"/>
          <w:szCs w:val="24"/>
        </w:rPr>
        <w:t xml:space="preserve">анных использованы результаты мониторингов финансово-хозяйственной деятельности крупных и средних организаций города Твери за 2018 год и </w:t>
      </w:r>
      <w:r w:rsidR="006B2DDA">
        <w:rPr>
          <w:sz w:val="24"/>
          <w:szCs w:val="24"/>
        </w:rPr>
        <w:t xml:space="preserve">отчетный период </w:t>
      </w:r>
      <w:r w:rsidRPr="00EE5073">
        <w:rPr>
          <w:sz w:val="24"/>
          <w:szCs w:val="24"/>
        </w:rPr>
        <w:t>2019 года, динамика налоговых поступлений в бюджет города Твери.</w:t>
      </w:r>
    </w:p>
    <w:p w:rsidR="004750AA" w:rsidRPr="00EE5073" w:rsidRDefault="004750AA" w:rsidP="004750AA">
      <w:pPr>
        <w:pStyle w:val="ConsNormal"/>
        <w:spacing w:line="288" w:lineRule="auto"/>
        <w:ind w:firstLine="709"/>
        <w:jc w:val="both"/>
        <w:rPr>
          <w:rFonts w:ascii="Times New Roman" w:hAnsi="Times New Roman" w:cs="Times New Roman"/>
          <w:sz w:val="24"/>
          <w:szCs w:val="24"/>
        </w:rPr>
      </w:pPr>
      <w:r w:rsidRPr="00EE5073">
        <w:rPr>
          <w:rFonts w:ascii="Times New Roman" w:hAnsi="Times New Roman" w:cs="Times New Roman"/>
          <w:sz w:val="24"/>
          <w:szCs w:val="24"/>
        </w:rPr>
        <w:t xml:space="preserve">В качестве индексов инфляции использовались </w:t>
      </w:r>
      <w:r w:rsidRPr="00EE5073">
        <w:rPr>
          <w:rFonts w:ascii="Times New Roman" w:eastAsia="Calibri" w:hAnsi="Times New Roman" w:cs="Times New Roman"/>
          <w:sz w:val="24"/>
          <w:szCs w:val="24"/>
          <w:lang w:eastAsia="en-US"/>
        </w:rPr>
        <w:t xml:space="preserve">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2020 год и на плановый период 2021 и 2022 годов,  одобренные </w:t>
      </w:r>
      <w:r w:rsidRPr="00EE5073">
        <w:rPr>
          <w:rFonts w:ascii="Times New Roman" w:hAnsi="Times New Roman" w:cs="Times New Roman"/>
          <w:sz w:val="24"/>
          <w:szCs w:val="24"/>
        </w:rPr>
        <w:t xml:space="preserve">на заседании Правительства Российской Федерации 18.04.2019. </w:t>
      </w:r>
    </w:p>
    <w:p w:rsidR="004750AA" w:rsidRPr="00366E5B" w:rsidRDefault="004750AA" w:rsidP="004750AA">
      <w:pPr>
        <w:spacing w:line="288" w:lineRule="auto"/>
        <w:ind w:firstLine="709"/>
        <w:jc w:val="both"/>
        <w:rPr>
          <w:rFonts w:eastAsia="Calibri"/>
          <w:sz w:val="24"/>
          <w:szCs w:val="24"/>
        </w:rPr>
      </w:pPr>
      <w:r w:rsidRPr="00323072">
        <w:rPr>
          <w:sz w:val="24"/>
          <w:szCs w:val="24"/>
        </w:rPr>
        <w:t xml:space="preserve">Базовый вариант долгосрочного прогноза города Твери </w:t>
      </w:r>
      <w:r w:rsidRPr="00323072">
        <w:rPr>
          <w:rFonts w:eastAsia="Calibri"/>
          <w:sz w:val="24"/>
          <w:szCs w:val="24"/>
        </w:rPr>
        <w:t xml:space="preserve">характеризует развитие экономики в условиях сохранения консервативных тенденций изменения внешних факторов при сохранении консервативной бюджетной политики. В социальной сфере базовый вариант предусматривает повышение уровня жизни населения на основе умеренного увеличения социальных обязательств </w:t>
      </w:r>
      <w:r w:rsidRPr="00366E5B">
        <w:rPr>
          <w:rFonts w:eastAsia="Calibri"/>
          <w:sz w:val="24"/>
          <w:szCs w:val="24"/>
        </w:rPr>
        <w:t>государства и бизнеса и сдержанной  динамики потребительского спроса.</w:t>
      </w:r>
    </w:p>
    <w:p w:rsidR="004750AA" w:rsidRPr="00366E5B" w:rsidRDefault="004750AA" w:rsidP="004750AA">
      <w:pPr>
        <w:widowControl w:val="0"/>
        <w:spacing w:line="288" w:lineRule="auto"/>
        <w:ind w:firstLine="709"/>
        <w:jc w:val="both"/>
      </w:pPr>
      <w:r w:rsidRPr="00366E5B">
        <w:rPr>
          <w:sz w:val="24"/>
          <w:szCs w:val="24"/>
        </w:rPr>
        <w:t>Прогнозируемые значения показателей долгосрочного прогноза базировались на сведениях более 170 хозяйствующих субъектов, представленных для разработки прогноза с результатами  деятельности за 2015-2018 годы и перспективах развития в будущем периоде, что свидетельствует о</w:t>
      </w:r>
      <w:r w:rsidR="006B2DDA">
        <w:rPr>
          <w:sz w:val="24"/>
          <w:szCs w:val="24"/>
        </w:rPr>
        <w:t xml:space="preserve"> позитивных тенденциях различных сфер деятельности </w:t>
      </w:r>
      <w:r w:rsidRPr="00366E5B">
        <w:rPr>
          <w:sz w:val="24"/>
          <w:szCs w:val="24"/>
        </w:rPr>
        <w:t>и стабилизации социально-экономического развития города Твери в целом. Динамика показателей по сравнению с уровнем предшествующих лет имеет положительную направленность</w:t>
      </w:r>
      <w:r w:rsidR="00CE0A98">
        <w:rPr>
          <w:sz w:val="24"/>
          <w:szCs w:val="24"/>
        </w:rPr>
        <w:t xml:space="preserve"> и </w:t>
      </w:r>
      <w:r w:rsidRPr="00366E5B">
        <w:rPr>
          <w:sz w:val="24"/>
          <w:szCs w:val="24"/>
        </w:rPr>
        <w:t xml:space="preserve">позволяет прогнозировать </w:t>
      </w:r>
      <w:r w:rsidR="00CE0A98">
        <w:rPr>
          <w:sz w:val="24"/>
          <w:szCs w:val="24"/>
        </w:rPr>
        <w:t xml:space="preserve">их умеренный рост </w:t>
      </w:r>
      <w:r w:rsidRPr="00366E5B">
        <w:rPr>
          <w:sz w:val="24"/>
          <w:szCs w:val="24"/>
        </w:rPr>
        <w:t xml:space="preserve">на 2020 год и на долгосрочный период до 2025 года. </w:t>
      </w:r>
    </w:p>
    <w:p w:rsidR="003D4233" w:rsidRPr="00420ABB" w:rsidRDefault="003D4233" w:rsidP="00D80ECF">
      <w:pPr>
        <w:contextualSpacing/>
        <w:jc w:val="both"/>
        <w:rPr>
          <w:b/>
          <w:sz w:val="24"/>
          <w:szCs w:val="24"/>
        </w:rPr>
      </w:pPr>
      <w:r w:rsidRPr="00420ABB">
        <w:rPr>
          <w:b/>
          <w:sz w:val="24"/>
          <w:szCs w:val="24"/>
        </w:rPr>
        <w:lastRenderedPageBreak/>
        <w:t>1. Среднегодовая численность постоянного населения</w:t>
      </w:r>
    </w:p>
    <w:p w:rsidR="00420ABB" w:rsidRPr="00420ABB" w:rsidRDefault="00420ABB" w:rsidP="00420ABB">
      <w:pPr>
        <w:jc w:val="center"/>
        <w:rPr>
          <w:b/>
          <w:sz w:val="14"/>
          <w:szCs w:val="24"/>
        </w:rPr>
      </w:pPr>
    </w:p>
    <w:p w:rsidR="00420ABB" w:rsidRPr="00420ABB" w:rsidRDefault="00BB1E99" w:rsidP="00420ABB">
      <w:pPr>
        <w:spacing w:line="312" w:lineRule="auto"/>
        <w:ind w:firstLine="720"/>
        <w:jc w:val="both"/>
        <w:rPr>
          <w:sz w:val="24"/>
          <w:szCs w:val="24"/>
        </w:rPr>
      </w:pPr>
      <w:r>
        <w:rPr>
          <w:sz w:val="24"/>
          <w:szCs w:val="24"/>
        </w:rPr>
        <w:t>Ч</w:t>
      </w:r>
      <w:r w:rsidR="00420ABB" w:rsidRPr="00420ABB">
        <w:rPr>
          <w:sz w:val="24"/>
          <w:szCs w:val="24"/>
        </w:rPr>
        <w:t xml:space="preserve">исленность населения города Твери </w:t>
      </w:r>
      <w:r>
        <w:rPr>
          <w:sz w:val="24"/>
          <w:szCs w:val="24"/>
        </w:rPr>
        <w:t xml:space="preserve">за 2018 год увеличилась </w:t>
      </w:r>
      <w:r w:rsidR="00420ABB" w:rsidRPr="00420ABB">
        <w:rPr>
          <w:sz w:val="24"/>
          <w:szCs w:val="24"/>
        </w:rPr>
        <w:t xml:space="preserve">на 785 человек и на 1 января 2019 года составила 420,85 тыс. </w:t>
      </w:r>
      <w:r>
        <w:rPr>
          <w:sz w:val="24"/>
          <w:szCs w:val="24"/>
        </w:rPr>
        <w:t>жителей</w:t>
      </w:r>
      <w:r w:rsidR="00420ABB" w:rsidRPr="00420ABB">
        <w:rPr>
          <w:sz w:val="24"/>
          <w:szCs w:val="24"/>
        </w:rPr>
        <w:t>.</w:t>
      </w:r>
      <w:r>
        <w:rPr>
          <w:sz w:val="24"/>
          <w:szCs w:val="24"/>
        </w:rPr>
        <w:t xml:space="preserve"> По сравнению с 2017 годом среднегодовая численность горожан в 2018 году повысилась на 0,2% до 420,46 тыс. человек.</w:t>
      </w:r>
      <w:r w:rsidR="00420ABB" w:rsidRPr="00420ABB">
        <w:rPr>
          <w:sz w:val="24"/>
          <w:szCs w:val="24"/>
        </w:rPr>
        <w:t xml:space="preserve"> </w:t>
      </w:r>
    </w:p>
    <w:p w:rsidR="00420ABB" w:rsidRPr="00966AE1" w:rsidRDefault="00420ABB" w:rsidP="00420ABB">
      <w:pPr>
        <w:widowControl w:val="0"/>
        <w:jc w:val="center"/>
        <w:rPr>
          <w:sz w:val="14"/>
          <w:szCs w:val="24"/>
        </w:rPr>
      </w:pPr>
    </w:p>
    <w:tbl>
      <w:tblPr>
        <w:tblStyle w:val="af1"/>
        <w:tblW w:w="0" w:type="auto"/>
        <w:tblInd w:w="108" w:type="dxa"/>
        <w:tblLook w:val="04A0" w:firstRow="1" w:lastRow="0" w:firstColumn="1" w:lastColumn="0" w:noHBand="0" w:noVBand="1"/>
      </w:tblPr>
      <w:tblGrid>
        <w:gridCol w:w="1843"/>
        <w:gridCol w:w="1843"/>
        <w:gridCol w:w="6520"/>
      </w:tblGrid>
      <w:tr w:rsidR="00420ABB" w:rsidRPr="00966AE1" w:rsidTr="00BB1E99">
        <w:trPr>
          <w:trHeight w:val="328"/>
        </w:trPr>
        <w:tc>
          <w:tcPr>
            <w:tcW w:w="10206" w:type="dxa"/>
            <w:gridSpan w:val="3"/>
            <w:vAlign w:val="center"/>
          </w:tcPr>
          <w:p w:rsidR="00420ABB" w:rsidRPr="00966AE1" w:rsidRDefault="00420ABB" w:rsidP="00BB1E99">
            <w:pPr>
              <w:widowControl w:val="0"/>
              <w:jc w:val="center"/>
              <w:rPr>
                <w:sz w:val="24"/>
                <w:szCs w:val="24"/>
              </w:rPr>
            </w:pPr>
            <w:r w:rsidRPr="00966AE1">
              <w:rPr>
                <w:b/>
                <w:sz w:val="24"/>
                <w:szCs w:val="24"/>
              </w:rPr>
              <w:t>Население города Твери на 1 января 2019 года</w:t>
            </w:r>
          </w:p>
        </w:tc>
      </w:tr>
      <w:tr w:rsidR="00420ABB" w:rsidRPr="00966AE1" w:rsidTr="00BB1E99">
        <w:trPr>
          <w:trHeight w:val="328"/>
        </w:trPr>
        <w:tc>
          <w:tcPr>
            <w:tcW w:w="1843" w:type="dxa"/>
            <w:vAlign w:val="center"/>
          </w:tcPr>
          <w:p w:rsidR="00420ABB" w:rsidRPr="00966AE1" w:rsidRDefault="00420ABB" w:rsidP="00BB1E99">
            <w:pPr>
              <w:widowControl w:val="0"/>
              <w:spacing w:line="216" w:lineRule="auto"/>
              <w:jc w:val="center"/>
              <w:rPr>
                <w:sz w:val="21"/>
                <w:szCs w:val="21"/>
              </w:rPr>
            </w:pPr>
            <w:r w:rsidRPr="00966AE1">
              <w:rPr>
                <w:b/>
                <w:sz w:val="21"/>
                <w:szCs w:val="21"/>
              </w:rPr>
              <w:t>ВСЕГО</w:t>
            </w:r>
            <w:r w:rsidRPr="00966AE1">
              <w:rPr>
                <w:sz w:val="21"/>
                <w:szCs w:val="21"/>
              </w:rPr>
              <w:t xml:space="preserve"> - </w:t>
            </w:r>
            <w:r w:rsidRPr="00966AE1">
              <w:rPr>
                <w:i/>
                <w:sz w:val="21"/>
                <w:szCs w:val="21"/>
              </w:rPr>
              <w:t>человек</w:t>
            </w:r>
          </w:p>
        </w:tc>
        <w:tc>
          <w:tcPr>
            <w:tcW w:w="1843" w:type="dxa"/>
            <w:vAlign w:val="center"/>
          </w:tcPr>
          <w:p w:rsidR="00420ABB" w:rsidRPr="00966AE1" w:rsidRDefault="00420ABB" w:rsidP="00BB1E99">
            <w:pPr>
              <w:widowControl w:val="0"/>
              <w:spacing w:line="216" w:lineRule="auto"/>
              <w:jc w:val="center"/>
              <w:rPr>
                <w:b/>
                <w:sz w:val="24"/>
                <w:szCs w:val="24"/>
              </w:rPr>
            </w:pPr>
            <w:r w:rsidRPr="00966AE1">
              <w:rPr>
                <w:b/>
                <w:sz w:val="24"/>
                <w:szCs w:val="24"/>
              </w:rPr>
              <w:t xml:space="preserve">420 850 </w:t>
            </w:r>
            <w:r w:rsidRPr="00966AE1">
              <w:rPr>
                <w:i/>
                <w:sz w:val="24"/>
                <w:szCs w:val="24"/>
              </w:rPr>
              <w:t>(100%)</w:t>
            </w:r>
          </w:p>
        </w:tc>
        <w:tc>
          <w:tcPr>
            <w:tcW w:w="6520" w:type="dxa"/>
            <w:vAlign w:val="center"/>
          </w:tcPr>
          <w:p w:rsidR="00420ABB" w:rsidRPr="00966AE1" w:rsidRDefault="00420ABB" w:rsidP="00BB1E99">
            <w:pPr>
              <w:widowControl w:val="0"/>
              <w:spacing w:line="216" w:lineRule="auto"/>
              <w:jc w:val="center"/>
              <w:rPr>
                <w:color w:val="0070C0"/>
                <w:sz w:val="24"/>
                <w:szCs w:val="24"/>
              </w:rPr>
            </w:pPr>
            <w:r w:rsidRPr="00966AE1">
              <w:rPr>
                <w:sz w:val="24"/>
                <w:szCs w:val="24"/>
              </w:rPr>
              <w:t xml:space="preserve">Половозрастная структура населения </w:t>
            </w:r>
          </w:p>
        </w:tc>
      </w:tr>
      <w:tr w:rsidR="00420ABB" w:rsidRPr="002A674A" w:rsidTr="00BB1E99">
        <w:trPr>
          <w:trHeight w:val="237"/>
        </w:trPr>
        <w:tc>
          <w:tcPr>
            <w:tcW w:w="3686" w:type="dxa"/>
            <w:gridSpan w:val="2"/>
            <w:vAlign w:val="center"/>
          </w:tcPr>
          <w:p w:rsidR="00420ABB" w:rsidRPr="00966AE1" w:rsidRDefault="00420ABB" w:rsidP="00BB1E99">
            <w:pPr>
              <w:widowControl w:val="0"/>
              <w:spacing w:line="216" w:lineRule="auto"/>
              <w:jc w:val="center"/>
              <w:rPr>
                <w:i/>
                <w:sz w:val="24"/>
                <w:szCs w:val="24"/>
              </w:rPr>
            </w:pPr>
            <w:r w:rsidRPr="00966AE1">
              <w:rPr>
                <w:i/>
                <w:sz w:val="22"/>
                <w:szCs w:val="24"/>
              </w:rPr>
              <w:t>в том числе по районам города:</w:t>
            </w:r>
          </w:p>
        </w:tc>
        <w:tc>
          <w:tcPr>
            <w:tcW w:w="6520" w:type="dxa"/>
            <w:vMerge w:val="restart"/>
          </w:tcPr>
          <w:p w:rsidR="00420ABB" w:rsidRPr="002A674A" w:rsidRDefault="00420ABB" w:rsidP="00BB1E99">
            <w:pPr>
              <w:widowControl w:val="0"/>
              <w:spacing w:line="216" w:lineRule="auto"/>
              <w:jc w:val="center"/>
              <w:rPr>
                <w:sz w:val="24"/>
                <w:szCs w:val="24"/>
                <w:u w:val="single"/>
              </w:rPr>
            </w:pPr>
            <w:r w:rsidRPr="002A674A">
              <w:rPr>
                <w:sz w:val="24"/>
                <w:szCs w:val="24"/>
                <w:u w:val="single"/>
              </w:rPr>
              <w:t>Численность населения</w:t>
            </w:r>
          </w:p>
          <w:p w:rsidR="00420ABB" w:rsidRPr="002A674A" w:rsidRDefault="00420ABB" w:rsidP="00BB1E99">
            <w:pPr>
              <w:widowControl w:val="0"/>
              <w:spacing w:line="216" w:lineRule="auto"/>
              <w:rPr>
                <w:sz w:val="24"/>
                <w:szCs w:val="24"/>
                <w:u w:val="single"/>
              </w:rPr>
            </w:pPr>
            <w:r w:rsidRPr="002A674A">
              <w:rPr>
                <w:sz w:val="24"/>
                <w:szCs w:val="24"/>
                <w:u w:val="single"/>
              </w:rPr>
              <w:t>по полу:</w:t>
            </w:r>
          </w:p>
          <w:p w:rsidR="00420ABB" w:rsidRPr="002A674A" w:rsidRDefault="00420ABB" w:rsidP="00BB1E99">
            <w:pPr>
              <w:widowControl w:val="0"/>
              <w:spacing w:line="216" w:lineRule="auto"/>
              <w:rPr>
                <w:i/>
                <w:sz w:val="24"/>
                <w:szCs w:val="24"/>
              </w:rPr>
            </w:pPr>
            <w:r w:rsidRPr="002A674A">
              <w:rPr>
                <w:sz w:val="24"/>
                <w:szCs w:val="24"/>
              </w:rPr>
              <w:t xml:space="preserve">   187,2 тыс. мужчин </w:t>
            </w:r>
            <w:r w:rsidRPr="002A674A">
              <w:rPr>
                <w:i/>
                <w:sz w:val="24"/>
                <w:szCs w:val="24"/>
              </w:rPr>
              <w:t>(44,5% всей численности),</w:t>
            </w:r>
            <w:r w:rsidRPr="002A674A">
              <w:rPr>
                <w:sz w:val="24"/>
                <w:szCs w:val="24"/>
              </w:rPr>
              <w:t xml:space="preserve"> </w:t>
            </w:r>
            <w:r w:rsidRPr="002A674A">
              <w:rPr>
                <w:sz w:val="24"/>
                <w:szCs w:val="24"/>
              </w:rPr>
              <w:br/>
              <w:t xml:space="preserve">    233,65 тыс. женщин </w:t>
            </w:r>
            <w:r w:rsidRPr="002A674A">
              <w:rPr>
                <w:i/>
                <w:sz w:val="24"/>
                <w:szCs w:val="24"/>
              </w:rPr>
              <w:t>(55,5%).</w:t>
            </w:r>
          </w:p>
          <w:p w:rsidR="00420ABB" w:rsidRPr="002A674A" w:rsidRDefault="00420ABB" w:rsidP="00BB1E99">
            <w:pPr>
              <w:widowControl w:val="0"/>
              <w:spacing w:line="216" w:lineRule="auto"/>
              <w:rPr>
                <w:sz w:val="24"/>
                <w:szCs w:val="24"/>
                <w:u w:val="single"/>
              </w:rPr>
            </w:pPr>
            <w:r w:rsidRPr="002A674A">
              <w:rPr>
                <w:sz w:val="24"/>
                <w:szCs w:val="24"/>
                <w:u w:val="single"/>
              </w:rPr>
              <w:t>по возрасту:</w:t>
            </w:r>
          </w:p>
          <w:p w:rsidR="00420ABB" w:rsidRPr="002A674A" w:rsidRDefault="00420ABB" w:rsidP="00BB1E99">
            <w:pPr>
              <w:widowControl w:val="0"/>
              <w:spacing w:line="216" w:lineRule="auto"/>
              <w:rPr>
                <w:sz w:val="24"/>
                <w:szCs w:val="24"/>
              </w:rPr>
            </w:pPr>
            <w:r w:rsidRPr="002A674A">
              <w:rPr>
                <w:sz w:val="24"/>
                <w:szCs w:val="24"/>
              </w:rPr>
              <w:t xml:space="preserve">    моложе трудоспособного – 70,8 тыс. человек </w:t>
            </w:r>
            <w:r w:rsidRPr="002A674A">
              <w:rPr>
                <w:i/>
                <w:sz w:val="24"/>
                <w:szCs w:val="24"/>
              </w:rPr>
              <w:t>(16,8%)</w:t>
            </w:r>
            <w:r w:rsidRPr="002A674A">
              <w:rPr>
                <w:sz w:val="24"/>
                <w:szCs w:val="24"/>
              </w:rPr>
              <w:t>,</w:t>
            </w:r>
          </w:p>
          <w:p w:rsidR="00420ABB" w:rsidRPr="002A674A" w:rsidRDefault="00420ABB" w:rsidP="00BB1E99">
            <w:pPr>
              <w:widowControl w:val="0"/>
              <w:tabs>
                <w:tab w:val="left" w:pos="175"/>
              </w:tabs>
              <w:spacing w:line="216" w:lineRule="auto"/>
              <w:rPr>
                <w:sz w:val="24"/>
                <w:szCs w:val="24"/>
              </w:rPr>
            </w:pPr>
            <w:r w:rsidRPr="002A674A">
              <w:rPr>
                <w:sz w:val="24"/>
                <w:szCs w:val="24"/>
              </w:rPr>
              <w:t xml:space="preserve">    трудоспособный  – 237,4</w:t>
            </w:r>
            <w:r>
              <w:rPr>
                <w:sz w:val="24"/>
                <w:szCs w:val="24"/>
              </w:rPr>
              <w:t>5</w:t>
            </w:r>
            <w:r w:rsidRPr="002A674A">
              <w:rPr>
                <w:sz w:val="24"/>
                <w:szCs w:val="24"/>
              </w:rPr>
              <w:t xml:space="preserve"> тыс. человек (56,4</w:t>
            </w:r>
            <w:r w:rsidRPr="002A674A">
              <w:rPr>
                <w:i/>
                <w:sz w:val="24"/>
                <w:szCs w:val="24"/>
              </w:rPr>
              <w:t>%)</w:t>
            </w:r>
            <w:r w:rsidRPr="002A674A">
              <w:rPr>
                <w:sz w:val="24"/>
                <w:szCs w:val="24"/>
              </w:rPr>
              <w:t>,</w:t>
            </w:r>
          </w:p>
          <w:p w:rsidR="00420ABB" w:rsidRPr="002A674A" w:rsidRDefault="00420ABB" w:rsidP="00BB1E99">
            <w:pPr>
              <w:widowControl w:val="0"/>
              <w:tabs>
                <w:tab w:val="left" w:pos="175"/>
              </w:tabs>
              <w:spacing w:line="216" w:lineRule="auto"/>
              <w:rPr>
                <w:sz w:val="24"/>
                <w:szCs w:val="24"/>
              </w:rPr>
            </w:pPr>
            <w:r w:rsidRPr="002A674A">
              <w:rPr>
                <w:sz w:val="24"/>
                <w:szCs w:val="24"/>
              </w:rPr>
              <w:t xml:space="preserve">    старше трудоспособного – 112,6 тыс. человек </w:t>
            </w:r>
            <w:r w:rsidRPr="002A674A">
              <w:rPr>
                <w:i/>
                <w:sz w:val="24"/>
                <w:szCs w:val="24"/>
              </w:rPr>
              <w:t>(26,8%).</w:t>
            </w:r>
          </w:p>
        </w:tc>
      </w:tr>
      <w:tr w:rsidR="00420ABB" w:rsidRPr="002A674A" w:rsidTr="00BB1E99">
        <w:trPr>
          <w:trHeight w:hRule="exact" w:val="457"/>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Заволжский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145 147 </w:t>
            </w:r>
            <w:r w:rsidRPr="00966AE1">
              <w:rPr>
                <w:i/>
                <w:sz w:val="24"/>
                <w:szCs w:val="24"/>
              </w:rPr>
              <w:t>(34,5%)</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39"/>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Московский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124 228 </w:t>
            </w:r>
            <w:r w:rsidRPr="00966AE1">
              <w:rPr>
                <w:i/>
                <w:sz w:val="24"/>
                <w:szCs w:val="24"/>
              </w:rPr>
              <w:t>(29,5%)</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17"/>
        </w:trPr>
        <w:tc>
          <w:tcPr>
            <w:tcW w:w="1843" w:type="dxa"/>
            <w:vAlign w:val="center"/>
          </w:tcPr>
          <w:p w:rsidR="00420ABB" w:rsidRPr="00966AE1" w:rsidRDefault="00420ABB" w:rsidP="00BB1E99">
            <w:pPr>
              <w:widowControl w:val="0"/>
              <w:spacing w:line="216" w:lineRule="auto"/>
              <w:rPr>
                <w:sz w:val="23"/>
                <w:szCs w:val="23"/>
              </w:rPr>
            </w:pPr>
            <w:r w:rsidRPr="00966AE1">
              <w:rPr>
                <w:sz w:val="23"/>
                <w:szCs w:val="23"/>
              </w:rPr>
              <w:t xml:space="preserve">   Пролетарский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97 113 </w:t>
            </w:r>
            <w:r w:rsidRPr="00966AE1">
              <w:rPr>
                <w:i/>
                <w:sz w:val="24"/>
                <w:szCs w:val="24"/>
              </w:rPr>
              <w:t>(23,1%)</w:t>
            </w:r>
          </w:p>
        </w:tc>
        <w:tc>
          <w:tcPr>
            <w:tcW w:w="6520" w:type="dxa"/>
            <w:vMerge/>
            <w:vAlign w:val="center"/>
          </w:tcPr>
          <w:p w:rsidR="00420ABB" w:rsidRPr="002A674A" w:rsidRDefault="00420ABB" w:rsidP="00BB1E99">
            <w:pPr>
              <w:widowControl w:val="0"/>
              <w:spacing w:line="216" w:lineRule="auto"/>
              <w:rPr>
                <w:sz w:val="24"/>
                <w:szCs w:val="24"/>
              </w:rPr>
            </w:pPr>
          </w:p>
        </w:tc>
      </w:tr>
      <w:tr w:rsidR="00420ABB" w:rsidRPr="002A674A" w:rsidTr="00BB1E99">
        <w:trPr>
          <w:trHeight w:hRule="exact" w:val="479"/>
        </w:trPr>
        <w:tc>
          <w:tcPr>
            <w:tcW w:w="1843" w:type="dxa"/>
            <w:vAlign w:val="center"/>
          </w:tcPr>
          <w:p w:rsidR="00420ABB" w:rsidRPr="00966AE1" w:rsidRDefault="00420ABB" w:rsidP="00BB1E99">
            <w:pPr>
              <w:widowControl w:val="0"/>
              <w:spacing w:line="216" w:lineRule="auto"/>
              <w:rPr>
                <w:sz w:val="24"/>
                <w:szCs w:val="24"/>
              </w:rPr>
            </w:pPr>
            <w:r w:rsidRPr="00966AE1">
              <w:rPr>
                <w:sz w:val="24"/>
                <w:szCs w:val="24"/>
              </w:rPr>
              <w:t xml:space="preserve">   Центральный</w:t>
            </w:r>
          </w:p>
        </w:tc>
        <w:tc>
          <w:tcPr>
            <w:tcW w:w="1843" w:type="dxa"/>
            <w:vAlign w:val="center"/>
          </w:tcPr>
          <w:p w:rsidR="00420ABB" w:rsidRPr="00966AE1" w:rsidRDefault="00420ABB" w:rsidP="00BB1E99">
            <w:pPr>
              <w:widowControl w:val="0"/>
              <w:spacing w:line="216" w:lineRule="auto"/>
              <w:jc w:val="center"/>
              <w:rPr>
                <w:sz w:val="24"/>
                <w:szCs w:val="24"/>
              </w:rPr>
            </w:pPr>
            <w:r w:rsidRPr="00966AE1">
              <w:rPr>
                <w:sz w:val="24"/>
                <w:szCs w:val="24"/>
              </w:rPr>
              <w:t xml:space="preserve">54 362 </w:t>
            </w:r>
            <w:r w:rsidRPr="00966AE1">
              <w:rPr>
                <w:i/>
                <w:sz w:val="24"/>
                <w:szCs w:val="24"/>
              </w:rPr>
              <w:t>(12,9%)</w:t>
            </w:r>
          </w:p>
        </w:tc>
        <w:tc>
          <w:tcPr>
            <w:tcW w:w="6520" w:type="dxa"/>
            <w:vMerge/>
            <w:vAlign w:val="center"/>
          </w:tcPr>
          <w:p w:rsidR="00420ABB" w:rsidRPr="002A674A" w:rsidRDefault="00420ABB" w:rsidP="00BB1E99">
            <w:pPr>
              <w:widowControl w:val="0"/>
              <w:spacing w:line="216" w:lineRule="auto"/>
              <w:rPr>
                <w:sz w:val="24"/>
                <w:szCs w:val="24"/>
              </w:rPr>
            </w:pPr>
          </w:p>
        </w:tc>
      </w:tr>
    </w:tbl>
    <w:p w:rsidR="00420ABB" w:rsidRPr="00BB1E99" w:rsidRDefault="00420ABB" w:rsidP="00420ABB">
      <w:pPr>
        <w:spacing w:line="300" w:lineRule="auto"/>
        <w:ind w:firstLine="720"/>
        <w:jc w:val="both"/>
        <w:rPr>
          <w:sz w:val="18"/>
          <w:szCs w:val="24"/>
        </w:rPr>
      </w:pPr>
    </w:p>
    <w:p w:rsidR="00420ABB" w:rsidRPr="00984CB9" w:rsidRDefault="00B47736" w:rsidP="00420ABB">
      <w:pPr>
        <w:spacing w:line="288" w:lineRule="auto"/>
        <w:ind w:firstLine="720"/>
        <w:jc w:val="both"/>
        <w:rPr>
          <w:sz w:val="24"/>
          <w:szCs w:val="24"/>
        </w:rPr>
      </w:pPr>
      <w:r>
        <w:rPr>
          <w:sz w:val="24"/>
          <w:szCs w:val="24"/>
        </w:rPr>
        <w:t>Д</w:t>
      </w:r>
      <w:r w:rsidRPr="00984CB9">
        <w:rPr>
          <w:sz w:val="24"/>
          <w:szCs w:val="24"/>
        </w:rPr>
        <w:t>емографическ</w:t>
      </w:r>
      <w:r>
        <w:rPr>
          <w:sz w:val="24"/>
          <w:szCs w:val="24"/>
        </w:rPr>
        <w:t>ая</w:t>
      </w:r>
      <w:r w:rsidRPr="00984CB9">
        <w:rPr>
          <w:sz w:val="24"/>
          <w:szCs w:val="24"/>
        </w:rPr>
        <w:t xml:space="preserve"> обстановк</w:t>
      </w:r>
      <w:r>
        <w:rPr>
          <w:sz w:val="24"/>
          <w:szCs w:val="24"/>
        </w:rPr>
        <w:t>а в</w:t>
      </w:r>
      <w:r w:rsidRPr="00984CB9">
        <w:rPr>
          <w:sz w:val="24"/>
          <w:szCs w:val="24"/>
        </w:rPr>
        <w:t xml:space="preserve"> город</w:t>
      </w:r>
      <w:r>
        <w:rPr>
          <w:sz w:val="24"/>
          <w:szCs w:val="24"/>
        </w:rPr>
        <w:t>е</w:t>
      </w:r>
      <w:r w:rsidRPr="00984CB9">
        <w:rPr>
          <w:sz w:val="24"/>
          <w:szCs w:val="24"/>
        </w:rPr>
        <w:t xml:space="preserve"> Твери</w:t>
      </w:r>
      <w:r>
        <w:rPr>
          <w:sz w:val="24"/>
          <w:szCs w:val="24"/>
        </w:rPr>
        <w:t xml:space="preserve"> с</w:t>
      </w:r>
      <w:r w:rsidR="00CE0A98">
        <w:rPr>
          <w:sz w:val="24"/>
          <w:szCs w:val="24"/>
        </w:rPr>
        <w:t xml:space="preserve"> 2017 года </w:t>
      </w:r>
      <w:r>
        <w:rPr>
          <w:sz w:val="24"/>
          <w:szCs w:val="24"/>
        </w:rPr>
        <w:t>стала</w:t>
      </w:r>
      <w:r w:rsidR="00036D8C">
        <w:rPr>
          <w:sz w:val="24"/>
          <w:szCs w:val="24"/>
        </w:rPr>
        <w:t xml:space="preserve"> характеризоваться снижением уровня рождаемости. В</w:t>
      </w:r>
      <w:r>
        <w:rPr>
          <w:sz w:val="24"/>
          <w:szCs w:val="24"/>
        </w:rPr>
        <w:t xml:space="preserve"> </w:t>
      </w:r>
      <w:r w:rsidR="0014439B" w:rsidRPr="00984CB9">
        <w:rPr>
          <w:sz w:val="24"/>
          <w:szCs w:val="24"/>
        </w:rPr>
        <w:t>2017 году</w:t>
      </w:r>
      <w:r>
        <w:rPr>
          <w:sz w:val="24"/>
          <w:szCs w:val="24"/>
        </w:rPr>
        <w:t xml:space="preserve"> родилось детей н</w:t>
      </w:r>
      <w:r w:rsidR="00F31FF2" w:rsidRPr="00984CB9">
        <w:rPr>
          <w:sz w:val="24"/>
          <w:szCs w:val="24"/>
        </w:rPr>
        <w:t>а 11,4%</w:t>
      </w:r>
      <w:r w:rsidR="00B74A84" w:rsidRPr="00B74A84">
        <w:rPr>
          <w:sz w:val="24"/>
          <w:szCs w:val="24"/>
        </w:rPr>
        <w:t xml:space="preserve"> </w:t>
      </w:r>
      <w:r>
        <w:rPr>
          <w:sz w:val="24"/>
          <w:szCs w:val="24"/>
        </w:rPr>
        <w:t xml:space="preserve">меньше </w:t>
      </w:r>
      <w:r w:rsidR="00B74A84" w:rsidRPr="00984CB9">
        <w:rPr>
          <w:sz w:val="24"/>
          <w:szCs w:val="24"/>
        </w:rPr>
        <w:t>пред</w:t>
      </w:r>
      <w:r w:rsidR="00036D8C">
        <w:rPr>
          <w:sz w:val="24"/>
          <w:szCs w:val="24"/>
        </w:rPr>
        <w:t>шествующего года</w:t>
      </w:r>
      <w:r w:rsidR="00F31FF2" w:rsidRPr="00984CB9">
        <w:rPr>
          <w:sz w:val="24"/>
          <w:szCs w:val="24"/>
        </w:rPr>
        <w:t xml:space="preserve">, в 2018 году – на 9,6%, </w:t>
      </w:r>
      <w:r>
        <w:rPr>
          <w:sz w:val="24"/>
          <w:szCs w:val="24"/>
        </w:rPr>
        <w:t xml:space="preserve">за 7 месяцев </w:t>
      </w:r>
      <w:r w:rsidR="00F31FF2" w:rsidRPr="00984CB9">
        <w:rPr>
          <w:sz w:val="24"/>
          <w:szCs w:val="24"/>
        </w:rPr>
        <w:t xml:space="preserve">2019 года – </w:t>
      </w:r>
      <w:proofErr w:type="gramStart"/>
      <w:r w:rsidR="00F31FF2" w:rsidRPr="00984CB9">
        <w:rPr>
          <w:sz w:val="24"/>
          <w:szCs w:val="24"/>
        </w:rPr>
        <w:t>на</w:t>
      </w:r>
      <w:proofErr w:type="gramEnd"/>
      <w:r w:rsidR="00F31FF2" w:rsidRPr="00984CB9">
        <w:rPr>
          <w:sz w:val="24"/>
          <w:szCs w:val="24"/>
        </w:rPr>
        <w:t xml:space="preserve"> </w:t>
      </w:r>
      <w:r>
        <w:rPr>
          <w:sz w:val="24"/>
          <w:szCs w:val="24"/>
        </w:rPr>
        <w:t>1,5</w:t>
      </w:r>
      <w:r w:rsidR="00F31FF2" w:rsidRPr="00984CB9">
        <w:rPr>
          <w:sz w:val="24"/>
          <w:szCs w:val="24"/>
        </w:rPr>
        <w:t xml:space="preserve">%. </w:t>
      </w:r>
      <w:r>
        <w:rPr>
          <w:sz w:val="24"/>
          <w:szCs w:val="24"/>
        </w:rPr>
        <w:t xml:space="preserve">Вместе </w:t>
      </w:r>
      <w:proofErr w:type="gramStart"/>
      <w:r>
        <w:rPr>
          <w:sz w:val="24"/>
          <w:szCs w:val="24"/>
        </w:rPr>
        <w:t>с</w:t>
      </w:r>
      <w:proofErr w:type="gramEnd"/>
      <w:r>
        <w:rPr>
          <w:sz w:val="24"/>
          <w:szCs w:val="24"/>
        </w:rPr>
        <w:t xml:space="preserve"> тем</w:t>
      </w:r>
      <w:r w:rsidR="00A36D15" w:rsidRPr="00984CB9">
        <w:rPr>
          <w:sz w:val="24"/>
          <w:szCs w:val="24"/>
        </w:rPr>
        <w:t xml:space="preserve">, </w:t>
      </w:r>
      <w:r w:rsidR="00036D8C">
        <w:rPr>
          <w:sz w:val="24"/>
          <w:szCs w:val="24"/>
        </w:rPr>
        <w:t xml:space="preserve">наблюдается ежегодное </w:t>
      </w:r>
      <w:r w:rsidR="00A36D15" w:rsidRPr="00984CB9">
        <w:rPr>
          <w:sz w:val="24"/>
          <w:szCs w:val="24"/>
        </w:rPr>
        <w:t>(с 2014 года)</w:t>
      </w:r>
      <w:r w:rsidR="00701360" w:rsidRPr="00984CB9">
        <w:rPr>
          <w:sz w:val="24"/>
          <w:szCs w:val="24"/>
        </w:rPr>
        <w:t xml:space="preserve"> </w:t>
      </w:r>
      <w:r w:rsidR="00036D8C">
        <w:rPr>
          <w:sz w:val="24"/>
          <w:szCs w:val="24"/>
        </w:rPr>
        <w:t xml:space="preserve">сокращение </w:t>
      </w:r>
      <w:r w:rsidR="00701360" w:rsidRPr="00984CB9">
        <w:rPr>
          <w:sz w:val="24"/>
          <w:szCs w:val="24"/>
        </w:rPr>
        <w:t xml:space="preserve">смертности </w:t>
      </w:r>
      <w:r w:rsidR="00A36D15" w:rsidRPr="00984CB9">
        <w:rPr>
          <w:sz w:val="24"/>
          <w:szCs w:val="24"/>
        </w:rPr>
        <w:t xml:space="preserve">горожан </w:t>
      </w:r>
      <w:r w:rsidR="00420ABB" w:rsidRPr="00984CB9">
        <w:rPr>
          <w:sz w:val="24"/>
          <w:szCs w:val="24"/>
        </w:rPr>
        <w:t xml:space="preserve">на фоне повышения продолжительности жизни </w:t>
      </w:r>
      <w:r w:rsidR="00420ABB" w:rsidRPr="00984CB9">
        <w:rPr>
          <w:i/>
          <w:sz w:val="24"/>
          <w:szCs w:val="24"/>
          <w:u w:val="single"/>
        </w:rPr>
        <w:t>городского</w:t>
      </w:r>
      <w:r w:rsidR="00420ABB" w:rsidRPr="00984CB9">
        <w:rPr>
          <w:sz w:val="24"/>
          <w:szCs w:val="24"/>
        </w:rPr>
        <w:t xml:space="preserve"> населения Тверской области</w:t>
      </w:r>
      <w:r w:rsidR="00036D8C">
        <w:rPr>
          <w:sz w:val="24"/>
          <w:szCs w:val="24"/>
        </w:rPr>
        <w:t xml:space="preserve">, согласно </w:t>
      </w:r>
      <w:r w:rsidR="002F243E">
        <w:rPr>
          <w:sz w:val="24"/>
          <w:szCs w:val="24"/>
        </w:rPr>
        <w:t>Демографическ</w:t>
      </w:r>
      <w:r w:rsidR="00036D8C">
        <w:rPr>
          <w:sz w:val="24"/>
          <w:szCs w:val="24"/>
        </w:rPr>
        <w:t>ому</w:t>
      </w:r>
      <w:r w:rsidR="002F243E">
        <w:rPr>
          <w:sz w:val="24"/>
          <w:szCs w:val="24"/>
        </w:rPr>
        <w:t xml:space="preserve"> прогноз</w:t>
      </w:r>
      <w:r w:rsidR="00036D8C">
        <w:rPr>
          <w:sz w:val="24"/>
          <w:szCs w:val="24"/>
        </w:rPr>
        <w:t>у</w:t>
      </w:r>
      <w:r w:rsidR="002F243E">
        <w:rPr>
          <w:sz w:val="24"/>
          <w:szCs w:val="24"/>
        </w:rPr>
        <w:t xml:space="preserve"> Федеральной службы государственной статистики</w:t>
      </w:r>
      <w:r w:rsidR="00420ABB" w:rsidRPr="00984CB9">
        <w:rPr>
          <w:sz w:val="24"/>
          <w:szCs w:val="24"/>
        </w:rPr>
        <w:t xml:space="preserve">. </w:t>
      </w:r>
    </w:p>
    <w:p w:rsidR="0014439B" w:rsidRPr="00984CB9" w:rsidRDefault="0014439B" w:rsidP="00420ABB">
      <w:pPr>
        <w:spacing w:line="288" w:lineRule="auto"/>
        <w:ind w:firstLine="720"/>
        <w:jc w:val="both"/>
        <w:rPr>
          <w:sz w:val="14"/>
          <w:szCs w:val="24"/>
        </w:rPr>
      </w:pPr>
    </w:p>
    <w:p w:rsidR="00420ABB" w:rsidRPr="00966AE1" w:rsidRDefault="00420ABB" w:rsidP="00420ABB">
      <w:pPr>
        <w:ind w:firstLine="720"/>
        <w:jc w:val="right"/>
        <w:rPr>
          <w:i/>
          <w:sz w:val="24"/>
          <w:szCs w:val="24"/>
        </w:rPr>
      </w:pPr>
      <w:r w:rsidRPr="00966AE1">
        <w:rPr>
          <w:i/>
          <w:sz w:val="22"/>
          <w:szCs w:val="24"/>
        </w:rPr>
        <w:t xml:space="preserve"> </w:t>
      </w:r>
      <w:r>
        <w:rPr>
          <w:i/>
          <w:sz w:val="24"/>
          <w:szCs w:val="24"/>
        </w:rPr>
        <w:t xml:space="preserve"> </w:t>
      </w:r>
      <w:r w:rsidR="002F243E">
        <w:rPr>
          <w:i/>
          <w:sz w:val="22"/>
          <w:szCs w:val="24"/>
        </w:rPr>
        <w:t>число лет</w:t>
      </w:r>
    </w:p>
    <w:tbl>
      <w:tblPr>
        <w:tblStyle w:val="af1"/>
        <w:tblW w:w="0" w:type="auto"/>
        <w:tblInd w:w="4928" w:type="dxa"/>
        <w:tblLook w:val="04A0" w:firstRow="1" w:lastRow="0" w:firstColumn="1" w:lastColumn="0" w:noHBand="0" w:noVBand="1"/>
      </w:tblPr>
      <w:tblGrid>
        <w:gridCol w:w="1134"/>
        <w:gridCol w:w="1417"/>
        <w:gridCol w:w="1417"/>
        <w:gridCol w:w="1418"/>
      </w:tblGrid>
      <w:tr w:rsidR="00420ABB" w:rsidRPr="00966AE1" w:rsidTr="00BB1E99">
        <w:tc>
          <w:tcPr>
            <w:tcW w:w="1134" w:type="dxa"/>
            <w:vMerge w:val="restart"/>
          </w:tcPr>
          <w:p w:rsidR="00420ABB" w:rsidRPr="00966AE1" w:rsidRDefault="00420ABB" w:rsidP="00BB1E99">
            <w:pPr>
              <w:jc w:val="center"/>
              <w:rPr>
                <w:sz w:val="12"/>
                <w:szCs w:val="24"/>
              </w:rPr>
            </w:pPr>
            <w:r w:rsidRPr="00966AE1">
              <w:rPr>
                <w:noProof/>
              </w:rPr>
              <mc:AlternateContent>
                <mc:Choice Requires="wps">
                  <w:drawing>
                    <wp:anchor distT="0" distB="0" distL="114300" distR="114300" simplePos="0" relativeHeight="251714560" behindDoc="0" locked="0" layoutInCell="1" allowOverlap="1" wp14:anchorId="5775A3D2" wp14:editId="571A8D79">
                      <wp:simplePos x="0" y="0"/>
                      <wp:positionH relativeFrom="column">
                        <wp:posOffset>-3141704</wp:posOffset>
                      </wp:positionH>
                      <wp:positionV relativeFrom="paragraph">
                        <wp:posOffset>911</wp:posOffset>
                      </wp:positionV>
                      <wp:extent cx="3037398" cy="1788795"/>
                      <wp:effectExtent l="0" t="0" r="220345" b="20955"/>
                      <wp:wrapNone/>
                      <wp:docPr id="22" name="Прямоугольная вынос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398" cy="1788795"/>
                              </a:xfrm>
                              <a:prstGeom prst="wedgeRectCallout">
                                <a:avLst>
                                  <a:gd name="adj1" fmla="val 56688"/>
                                  <a:gd name="adj2" fmla="val 36760"/>
                                </a:avLst>
                              </a:prstGeom>
                              <a:solidFill>
                                <a:srgbClr val="4F81BD">
                                  <a:lumMod val="20000"/>
                                  <a:lumOff val="80000"/>
                                  <a:alpha val="95000"/>
                                </a:srgbClr>
                              </a:solidFill>
                              <a:ln w="12700" cap="rnd">
                                <a:solidFill>
                                  <a:srgbClr val="4F81BD">
                                    <a:lumMod val="50000"/>
                                  </a:srgbClr>
                                </a:solidFill>
                                <a:prstDash val="sysDot"/>
                                <a:miter lim="800000"/>
                                <a:headEnd/>
                                <a:tailEnd/>
                              </a:ln>
                            </wps:spPr>
                            <wps:txbx>
                              <w:txbxContent>
                                <w:p w:rsidR="008B1069" w:rsidRPr="00142162" w:rsidRDefault="008B1069" w:rsidP="00420ABB">
                                  <w:pPr>
                                    <w:spacing w:line="228" w:lineRule="auto"/>
                                    <w:rPr>
                                      <w:sz w:val="24"/>
                                      <w:szCs w:val="23"/>
                                    </w:rPr>
                                  </w:pPr>
                                  <w:r w:rsidRPr="00142162">
                                    <w:rPr>
                                      <w:sz w:val="24"/>
                                      <w:szCs w:val="23"/>
                                    </w:rPr>
                                    <w:t>Динамика ожидаемой продолжительности жизни городского населения с</w:t>
                                  </w:r>
                                  <w:r>
                                    <w:rPr>
                                      <w:sz w:val="24"/>
                                      <w:szCs w:val="23"/>
                                    </w:rPr>
                                    <w:t xml:space="preserve">охраняет </w:t>
                                  </w:r>
                                  <w:r w:rsidRPr="00142162">
                                    <w:rPr>
                                      <w:sz w:val="24"/>
                                      <w:szCs w:val="23"/>
                                    </w:rPr>
                                    <w:t xml:space="preserve"> </w:t>
                                  </w:r>
                                  <w:r>
                                    <w:rPr>
                                      <w:sz w:val="24"/>
                                      <w:szCs w:val="23"/>
                                    </w:rPr>
                                    <w:t xml:space="preserve">соотношение, при котором ожидаемая продолжительность </w:t>
                                  </w:r>
                                  <w:r w:rsidRPr="00142162">
                                    <w:rPr>
                                      <w:sz w:val="24"/>
                                      <w:szCs w:val="23"/>
                                    </w:rPr>
                                    <w:t xml:space="preserve">жизни женщин </w:t>
                                  </w:r>
                                  <w:r>
                                    <w:rPr>
                                      <w:sz w:val="24"/>
                                      <w:szCs w:val="23"/>
                                    </w:rPr>
                                    <w:br/>
                                    <w:t xml:space="preserve">(в среднем на 10 лет) выше, чем у </w:t>
                                  </w:r>
                                  <w:r w:rsidRPr="00142162">
                                    <w:rPr>
                                      <w:sz w:val="24"/>
                                      <w:szCs w:val="23"/>
                                    </w:rPr>
                                    <w:t>мужчин.</w:t>
                                  </w:r>
                                </w:p>
                                <w:p w:rsidR="008B1069" w:rsidRPr="00984CB9" w:rsidRDefault="008B1069" w:rsidP="00420ABB">
                                  <w:pPr>
                                    <w:spacing w:line="228" w:lineRule="auto"/>
                                    <w:rPr>
                                      <w:sz w:val="24"/>
                                      <w:szCs w:val="23"/>
                                    </w:rPr>
                                  </w:pPr>
                                  <w:r w:rsidRPr="00142162">
                                    <w:rPr>
                                      <w:sz w:val="24"/>
                                      <w:szCs w:val="23"/>
                                    </w:rPr>
                                    <w:t>В настоящее время средний возраст жизни мужчин практически соответству</w:t>
                                  </w:r>
                                  <w:r>
                                    <w:rPr>
                                      <w:sz w:val="24"/>
                                      <w:szCs w:val="23"/>
                                    </w:rPr>
                                    <w:t>ет</w:t>
                                  </w:r>
                                  <w:r w:rsidRPr="00142162">
                                    <w:rPr>
                                      <w:sz w:val="24"/>
                                      <w:szCs w:val="23"/>
                                    </w:rPr>
                                    <w:t xml:space="preserve"> </w:t>
                                  </w:r>
                                  <w:r>
                                    <w:rPr>
                                      <w:sz w:val="24"/>
                                      <w:szCs w:val="23"/>
                                    </w:rPr>
                                    <w:t xml:space="preserve">установленному </w:t>
                                  </w:r>
                                  <w:r w:rsidRPr="00142162">
                                    <w:rPr>
                                      <w:sz w:val="24"/>
                                      <w:szCs w:val="23"/>
                                    </w:rPr>
                                    <w:t xml:space="preserve">возрасту выхода на пенсию мужского населения, согласно Пенсионной реформе с 1 января 2019 </w:t>
                                  </w:r>
                                  <w:r w:rsidRPr="00984CB9">
                                    <w:rPr>
                                      <w:sz w:val="24"/>
                                      <w:szCs w:val="23"/>
                                    </w:rPr>
                                    <w:t xml:space="preserve">года.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22" o:spid="_x0000_s1026" type="#_x0000_t61" style="position:absolute;left:0;text-align:left;margin-left:-247.4pt;margin-top:.05pt;width:239.15pt;height:14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" adj="23045,18740" fillcolor="#dce6f2" strokecolor="#254061" strokeweight="1pt">
                      <v:fill opacity="62194f"/>
                      <v:stroke dashstyle="1 1" endcap="round"/>
                      <v:textbox>
                        <w:txbxContent>
                          <w:p w:rsidR="008B12B4" w:rsidRPr="00142162" w:rsidRDefault="008B12B4" w:rsidP="00420ABB">
                            <w:pPr>
                              <w:spacing w:line="228" w:lineRule="auto"/>
                              <w:rPr>
                                <w:sz w:val="24"/>
                                <w:szCs w:val="23"/>
                              </w:rPr>
                            </w:pPr>
                            <w:r w:rsidRPr="00142162">
                              <w:rPr>
                                <w:sz w:val="24"/>
                                <w:szCs w:val="23"/>
                              </w:rPr>
                              <w:t>Динамика ожидаемой продолжительности жизни городского населения с</w:t>
                            </w:r>
                            <w:r>
                              <w:rPr>
                                <w:sz w:val="24"/>
                                <w:szCs w:val="23"/>
                              </w:rPr>
                              <w:t xml:space="preserve">охраняет </w:t>
                            </w:r>
                            <w:r w:rsidRPr="00142162">
                              <w:rPr>
                                <w:sz w:val="24"/>
                                <w:szCs w:val="23"/>
                              </w:rPr>
                              <w:t xml:space="preserve"> </w:t>
                            </w:r>
                            <w:r>
                              <w:rPr>
                                <w:sz w:val="24"/>
                                <w:szCs w:val="23"/>
                              </w:rPr>
                              <w:t xml:space="preserve">соотношение, при котором ожидаемая продолжительность </w:t>
                            </w:r>
                            <w:r w:rsidRPr="00142162">
                              <w:rPr>
                                <w:sz w:val="24"/>
                                <w:szCs w:val="23"/>
                              </w:rPr>
                              <w:t xml:space="preserve">жизни женщин </w:t>
                            </w:r>
                            <w:r>
                              <w:rPr>
                                <w:sz w:val="24"/>
                                <w:szCs w:val="23"/>
                              </w:rPr>
                              <w:br/>
                              <w:t xml:space="preserve">(в среднем на 10 лет) выше, чем у </w:t>
                            </w:r>
                            <w:r w:rsidRPr="00142162">
                              <w:rPr>
                                <w:sz w:val="24"/>
                                <w:szCs w:val="23"/>
                              </w:rPr>
                              <w:t>мужчин.</w:t>
                            </w:r>
                          </w:p>
                          <w:p w:rsidR="008B12B4" w:rsidRPr="00984CB9" w:rsidRDefault="008B12B4" w:rsidP="00420ABB">
                            <w:pPr>
                              <w:spacing w:line="228" w:lineRule="auto"/>
                              <w:rPr>
                                <w:sz w:val="24"/>
                                <w:szCs w:val="23"/>
                              </w:rPr>
                            </w:pPr>
                            <w:r w:rsidRPr="00142162">
                              <w:rPr>
                                <w:sz w:val="24"/>
                                <w:szCs w:val="23"/>
                              </w:rPr>
                              <w:t>В настоящее время средний возраст жизни мужчин практически соответству</w:t>
                            </w:r>
                            <w:r>
                              <w:rPr>
                                <w:sz w:val="24"/>
                                <w:szCs w:val="23"/>
                              </w:rPr>
                              <w:t>ет</w:t>
                            </w:r>
                            <w:r w:rsidRPr="00142162">
                              <w:rPr>
                                <w:sz w:val="24"/>
                                <w:szCs w:val="23"/>
                              </w:rPr>
                              <w:t xml:space="preserve"> </w:t>
                            </w:r>
                            <w:r>
                              <w:rPr>
                                <w:sz w:val="24"/>
                                <w:szCs w:val="23"/>
                              </w:rPr>
                              <w:t xml:space="preserve">установленному </w:t>
                            </w:r>
                            <w:r w:rsidRPr="00142162">
                              <w:rPr>
                                <w:sz w:val="24"/>
                                <w:szCs w:val="23"/>
                              </w:rPr>
                              <w:t xml:space="preserve">возрасту выхода на пенсию мужского населения, согласно Пенсионной реформе с 1 января 2019 </w:t>
                            </w:r>
                            <w:r w:rsidRPr="00984CB9">
                              <w:rPr>
                                <w:sz w:val="24"/>
                                <w:szCs w:val="23"/>
                              </w:rPr>
                              <w:t xml:space="preserve">года.  </w:t>
                            </w:r>
                          </w:p>
                        </w:txbxContent>
                      </v:textbox>
                    </v:shape>
                  </w:pict>
                </mc:Fallback>
              </mc:AlternateContent>
            </w:r>
          </w:p>
          <w:p w:rsidR="00420ABB" w:rsidRPr="00966AE1" w:rsidRDefault="00420ABB" w:rsidP="00BB1E99">
            <w:pPr>
              <w:jc w:val="center"/>
              <w:rPr>
                <w:sz w:val="24"/>
                <w:szCs w:val="24"/>
              </w:rPr>
            </w:pPr>
            <w:r w:rsidRPr="00966AE1">
              <w:rPr>
                <w:sz w:val="24"/>
                <w:szCs w:val="24"/>
              </w:rPr>
              <w:t>Годы</w:t>
            </w:r>
          </w:p>
        </w:tc>
        <w:tc>
          <w:tcPr>
            <w:tcW w:w="4252" w:type="dxa"/>
            <w:gridSpan w:val="3"/>
          </w:tcPr>
          <w:p w:rsidR="00420ABB" w:rsidRPr="00966AE1" w:rsidRDefault="00420ABB" w:rsidP="00BB1E99">
            <w:pPr>
              <w:jc w:val="center"/>
              <w:rPr>
                <w:sz w:val="24"/>
                <w:szCs w:val="24"/>
              </w:rPr>
            </w:pPr>
            <w:r w:rsidRPr="00966AE1">
              <w:rPr>
                <w:sz w:val="24"/>
                <w:szCs w:val="24"/>
              </w:rPr>
              <w:t xml:space="preserve">Городское население </w:t>
            </w:r>
          </w:p>
          <w:p w:rsidR="00420ABB" w:rsidRPr="00966AE1" w:rsidRDefault="00420ABB" w:rsidP="00BB1E99">
            <w:pPr>
              <w:jc w:val="center"/>
              <w:rPr>
                <w:sz w:val="24"/>
                <w:szCs w:val="24"/>
              </w:rPr>
            </w:pPr>
            <w:r w:rsidRPr="00966AE1">
              <w:rPr>
                <w:sz w:val="24"/>
                <w:szCs w:val="24"/>
              </w:rPr>
              <w:t>Тверской области</w:t>
            </w:r>
          </w:p>
        </w:tc>
      </w:tr>
      <w:tr w:rsidR="00420ABB" w:rsidRPr="00966AE1" w:rsidTr="00BB1E99">
        <w:tc>
          <w:tcPr>
            <w:tcW w:w="1134" w:type="dxa"/>
            <w:vMerge/>
          </w:tcPr>
          <w:p w:rsidR="00420ABB" w:rsidRPr="00966AE1" w:rsidRDefault="00420ABB" w:rsidP="00BB1E99">
            <w:pPr>
              <w:jc w:val="center"/>
              <w:rPr>
                <w:sz w:val="24"/>
                <w:szCs w:val="24"/>
                <w:lang w:val="en-US"/>
              </w:rPr>
            </w:pPr>
          </w:p>
        </w:tc>
        <w:tc>
          <w:tcPr>
            <w:tcW w:w="1417" w:type="dxa"/>
          </w:tcPr>
          <w:p w:rsidR="00420ABB" w:rsidRPr="00966AE1" w:rsidRDefault="00420ABB" w:rsidP="00BB1E99">
            <w:pPr>
              <w:jc w:val="center"/>
              <w:rPr>
                <w:i/>
                <w:sz w:val="24"/>
                <w:szCs w:val="24"/>
              </w:rPr>
            </w:pPr>
            <w:r w:rsidRPr="00966AE1">
              <w:rPr>
                <w:i/>
                <w:sz w:val="24"/>
                <w:szCs w:val="24"/>
              </w:rPr>
              <w:t>оба пола</w:t>
            </w:r>
          </w:p>
        </w:tc>
        <w:tc>
          <w:tcPr>
            <w:tcW w:w="1417" w:type="dxa"/>
          </w:tcPr>
          <w:p w:rsidR="00420ABB" w:rsidRPr="00966AE1" w:rsidRDefault="00420ABB" w:rsidP="00BB1E99">
            <w:pPr>
              <w:jc w:val="center"/>
              <w:rPr>
                <w:i/>
                <w:sz w:val="24"/>
                <w:szCs w:val="24"/>
              </w:rPr>
            </w:pPr>
            <w:r w:rsidRPr="00966AE1">
              <w:rPr>
                <w:i/>
                <w:sz w:val="24"/>
                <w:szCs w:val="24"/>
              </w:rPr>
              <w:t>мужчины</w:t>
            </w:r>
          </w:p>
        </w:tc>
        <w:tc>
          <w:tcPr>
            <w:tcW w:w="1418" w:type="dxa"/>
          </w:tcPr>
          <w:p w:rsidR="00420ABB" w:rsidRPr="00966AE1" w:rsidRDefault="00420ABB" w:rsidP="00BB1E99">
            <w:pPr>
              <w:jc w:val="center"/>
              <w:rPr>
                <w:i/>
                <w:sz w:val="24"/>
                <w:szCs w:val="24"/>
              </w:rPr>
            </w:pPr>
            <w:r w:rsidRPr="00966AE1">
              <w:rPr>
                <w:i/>
                <w:sz w:val="24"/>
                <w:szCs w:val="24"/>
              </w:rPr>
              <w:t>женщины</w:t>
            </w:r>
          </w:p>
        </w:tc>
      </w:tr>
      <w:tr w:rsidR="00420ABB" w:rsidRPr="00966AE1" w:rsidTr="00BB1E99">
        <w:trPr>
          <w:trHeight w:val="191"/>
        </w:trPr>
        <w:tc>
          <w:tcPr>
            <w:tcW w:w="1134" w:type="dxa"/>
          </w:tcPr>
          <w:p w:rsidR="00420ABB" w:rsidRPr="00966AE1" w:rsidRDefault="00420ABB" w:rsidP="00BB1E99">
            <w:pPr>
              <w:jc w:val="center"/>
              <w:rPr>
                <w:sz w:val="24"/>
                <w:szCs w:val="24"/>
                <w:lang w:val="en-US"/>
              </w:rPr>
            </w:pPr>
            <w:r w:rsidRPr="00966AE1">
              <w:rPr>
                <w:sz w:val="24"/>
                <w:szCs w:val="24"/>
                <w:lang w:val="en-US"/>
              </w:rPr>
              <w:t>2010</w:t>
            </w:r>
          </w:p>
        </w:tc>
        <w:tc>
          <w:tcPr>
            <w:tcW w:w="1417" w:type="dxa"/>
          </w:tcPr>
          <w:p w:rsidR="00420ABB" w:rsidRPr="00966AE1" w:rsidRDefault="00420ABB" w:rsidP="00BB1E99">
            <w:pPr>
              <w:jc w:val="center"/>
              <w:rPr>
                <w:sz w:val="24"/>
                <w:szCs w:val="24"/>
              </w:rPr>
            </w:pPr>
            <w:r w:rsidRPr="00966AE1">
              <w:rPr>
                <w:sz w:val="24"/>
                <w:szCs w:val="24"/>
              </w:rPr>
              <w:t>67,24</w:t>
            </w:r>
          </w:p>
        </w:tc>
        <w:tc>
          <w:tcPr>
            <w:tcW w:w="1417" w:type="dxa"/>
          </w:tcPr>
          <w:p w:rsidR="00420ABB" w:rsidRPr="00966AE1" w:rsidRDefault="00420ABB" w:rsidP="00BB1E99">
            <w:pPr>
              <w:jc w:val="center"/>
              <w:rPr>
                <w:sz w:val="24"/>
                <w:szCs w:val="24"/>
              </w:rPr>
            </w:pPr>
            <w:r w:rsidRPr="00966AE1">
              <w:rPr>
                <w:sz w:val="24"/>
                <w:szCs w:val="24"/>
              </w:rPr>
              <w:t>60,65</w:t>
            </w:r>
          </w:p>
        </w:tc>
        <w:tc>
          <w:tcPr>
            <w:tcW w:w="1418" w:type="dxa"/>
          </w:tcPr>
          <w:p w:rsidR="00420ABB" w:rsidRPr="00966AE1" w:rsidRDefault="00420ABB" w:rsidP="00BB1E99">
            <w:pPr>
              <w:jc w:val="center"/>
              <w:rPr>
                <w:sz w:val="24"/>
                <w:szCs w:val="24"/>
              </w:rPr>
            </w:pPr>
            <w:r w:rsidRPr="00966AE1">
              <w:rPr>
                <w:sz w:val="24"/>
                <w:szCs w:val="24"/>
              </w:rPr>
              <w:t>73,85</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2014</w:t>
            </w:r>
          </w:p>
        </w:tc>
        <w:tc>
          <w:tcPr>
            <w:tcW w:w="1417" w:type="dxa"/>
          </w:tcPr>
          <w:p w:rsidR="00420ABB" w:rsidRPr="00966AE1" w:rsidRDefault="00420ABB" w:rsidP="00BB1E99">
            <w:pPr>
              <w:jc w:val="center"/>
              <w:rPr>
                <w:sz w:val="24"/>
                <w:szCs w:val="24"/>
              </w:rPr>
            </w:pPr>
            <w:r w:rsidRPr="00966AE1">
              <w:rPr>
                <w:sz w:val="24"/>
                <w:szCs w:val="24"/>
              </w:rPr>
              <w:t>68,58</w:t>
            </w:r>
          </w:p>
        </w:tc>
        <w:tc>
          <w:tcPr>
            <w:tcW w:w="1417" w:type="dxa"/>
          </w:tcPr>
          <w:p w:rsidR="00420ABB" w:rsidRPr="00966AE1" w:rsidRDefault="00420ABB" w:rsidP="00BB1E99">
            <w:pPr>
              <w:jc w:val="center"/>
              <w:rPr>
                <w:sz w:val="24"/>
                <w:szCs w:val="24"/>
              </w:rPr>
            </w:pPr>
            <w:r w:rsidRPr="00966AE1">
              <w:rPr>
                <w:sz w:val="24"/>
                <w:szCs w:val="24"/>
              </w:rPr>
              <w:t>62,17</w:t>
            </w:r>
          </w:p>
        </w:tc>
        <w:tc>
          <w:tcPr>
            <w:tcW w:w="1418" w:type="dxa"/>
          </w:tcPr>
          <w:p w:rsidR="00420ABB" w:rsidRPr="00966AE1" w:rsidRDefault="00420ABB" w:rsidP="00BB1E99">
            <w:pPr>
              <w:jc w:val="center"/>
              <w:rPr>
                <w:sz w:val="24"/>
                <w:szCs w:val="24"/>
              </w:rPr>
            </w:pPr>
            <w:r w:rsidRPr="00966AE1">
              <w:rPr>
                <w:sz w:val="24"/>
                <w:szCs w:val="24"/>
              </w:rPr>
              <w:t>74,86</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2015</w:t>
            </w:r>
          </w:p>
        </w:tc>
        <w:tc>
          <w:tcPr>
            <w:tcW w:w="1417" w:type="dxa"/>
          </w:tcPr>
          <w:p w:rsidR="00420ABB" w:rsidRPr="00966AE1" w:rsidRDefault="00420ABB" w:rsidP="00BB1E99">
            <w:pPr>
              <w:jc w:val="center"/>
              <w:rPr>
                <w:sz w:val="24"/>
                <w:szCs w:val="24"/>
              </w:rPr>
            </w:pPr>
            <w:r w:rsidRPr="00966AE1">
              <w:rPr>
                <w:sz w:val="24"/>
                <w:szCs w:val="24"/>
              </w:rPr>
              <w:t>69,33</w:t>
            </w:r>
          </w:p>
        </w:tc>
        <w:tc>
          <w:tcPr>
            <w:tcW w:w="1417" w:type="dxa"/>
          </w:tcPr>
          <w:p w:rsidR="00420ABB" w:rsidRPr="00966AE1" w:rsidRDefault="00420ABB" w:rsidP="00BB1E99">
            <w:pPr>
              <w:jc w:val="center"/>
              <w:rPr>
                <w:sz w:val="24"/>
                <w:szCs w:val="24"/>
              </w:rPr>
            </w:pPr>
            <w:r w:rsidRPr="00966AE1">
              <w:rPr>
                <w:sz w:val="24"/>
                <w:szCs w:val="24"/>
              </w:rPr>
              <w:t>63,28</w:t>
            </w:r>
          </w:p>
        </w:tc>
        <w:tc>
          <w:tcPr>
            <w:tcW w:w="1418" w:type="dxa"/>
          </w:tcPr>
          <w:p w:rsidR="00420ABB" w:rsidRPr="00966AE1" w:rsidRDefault="00420ABB" w:rsidP="00BB1E99">
            <w:pPr>
              <w:jc w:val="center"/>
              <w:rPr>
                <w:sz w:val="24"/>
                <w:szCs w:val="24"/>
              </w:rPr>
            </w:pPr>
            <w:r w:rsidRPr="00966AE1">
              <w:rPr>
                <w:sz w:val="24"/>
                <w:szCs w:val="24"/>
              </w:rPr>
              <w:t>75,09</w:t>
            </w:r>
          </w:p>
        </w:tc>
      </w:tr>
      <w:tr w:rsidR="00420ABB" w:rsidRPr="00966AE1" w:rsidTr="00BB1E99">
        <w:tc>
          <w:tcPr>
            <w:tcW w:w="1134" w:type="dxa"/>
          </w:tcPr>
          <w:p w:rsidR="00420ABB" w:rsidRPr="00966AE1" w:rsidRDefault="00420ABB" w:rsidP="00BB1E99">
            <w:pPr>
              <w:jc w:val="center"/>
              <w:rPr>
                <w:sz w:val="24"/>
                <w:szCs w:val="24"/>
                <w:lang w:val="en-US"/>
              </w:rPr>
            </w:pPr>
            <w:r w:rsidRPr="00966AE1">
              <w:rPr>
                <w:sz w:val="24"/>
                <w:szCs w:val="24"/>
                <w:lang w:val="en-US"/>
              </w:rPr>
              <w:t>2016</w:t>
            </w:r>
          </w:p>
        </w:tc>
        <w:tc>
          <w:tcPr>
            <w:tcW w:w="1417" w:type="dxa"/>
          </w:tcPr>
          <w:p w:rsidR="00420ABB" w:rsidRPr="00966AE1" w:rsidRDefault="00420ABB" w:rsidP="00BB1E99">
            <w:pPr>
              <w:jc w:val="center"/>
              <w:rPr>
                <w:sz w:val="24"/>
                <w:szCs w:val="24"/>
              </w:rPr>
            </w:pPr>
            <w:r w:rsidRPr="00966AE1">
              <w:rPr>
                <w:sz w:val="24"/>
                <w:szCs w:val="24"/>
              </w:rPr>
              <w:t>69,53</w:t>
            </w:r>
          </w:p>
        </w:tc>
        <w:tc>
          <w:tcPr>
            <w:tcW w:w="1417" w:type="dxa"/>
          </w:tcPr>
          <w:p w:rsidR="00420ABB" w:rsidRPr="00966AE1" w:rsidRDefault="00420ABB" w:rsidP="00BB1E99">
            <w:pPr>
              <w:jc w:val="center"/>
              <w:rPr>
                <w:sz w:val="24"/>
                <w:szCs w:val="24"/>
              </w:rPr>
            </w:pPr>
            <w:r w:rsidRPr="00966AE1">
              <w:rPr>
                <w:sz w:val="24"/>
                <w:szCs w:val="24"/>
              </w:rPr>
              <w:t>63,54</w:t>
            </w:r>
          </w:p>
        </w:tc>
        <w:tc>
          <w:tcPr>
            <w:tcW w:w="1418" w:type="dxa"/>
          </w:tcPr>
          <w:p w:rsidR="00420ABB" w:rsidRPr="00966AE1" w:rsidRDefault="00420ABB" w:rsidP="00BB1E99">
            <w:pPr>
              <w:jc w:val="center"/>
              <w:rPr>
                <w:sz w:val="24"/>
                <w:szCs w:val="24"/>
              </w:rPr>
            </w:pPr>
            <w:r w:rsidRPr="00966AE1">
              <w:rPr>
                <w:sz w:val="24"/>
                <w:szCs w:val="24"/>
              </w:rPr>
              <w:t>75,21</w:t>
            </w:r>
          </w:p>
        </w:tc>
      </w:tr>
      <w:tr w:rsidR="00420ABB" w:rsidRPr="00966AE1" w:rsidTr="00BB1E99">
        <w:tc>
          <w:tcPr>
            <w:tcW w:w="1134" w:type="dxa"/>
            <w:tcBorders>
              <w:bottom w:val="single" w:sz="4" w:space="0" w:color="auto"/>
            </w:tcBorders>
          </w:tcPr>
          <w:p w:rsidR="00420ABB" w:rsidRPr="00966AE1" w:rsidRDefault="00420ABB" w:rsidP="00BB1E99">
            <w:pPr>
              <w:jc w:val="center"/>
              <w:rPr>
                <w:sz w:val="24"/>
                <w:szCs w:val="24"/>
                <w:lang w:val="en-US"/>
              </w:rPr>
            </w:pPr>
            <w:r w:rsidRPr="00966AE1">
              <w:rPr>
                <w:sz w:val="24"/>
                <w:szCs w:val="24"/>
                <w:lang w:val="en-US"/>
              </w:rPr>
              <w:t>2017</w:t>
            </w:r>
          </w:p>
        </w:tc>
        <w:tc>
          <w:tcPr>
            <w:tcW w:w="1417" w:type="dxa"/>
            <w:tcBorders>
              <w:bottom w:val="single" w:sz="4" w:space="0" w:color="auto"/>
            </w:tcBorders>
          </w:tcPr>
          <w:p w:rsidR="00420ABB" w:rsidRPr="00966AE1" w:rsidRDefault="00420ABB" w:rsidP="00BB1E99">
            <w:pPr>
              <w:jc w:val="center"/>
              <w:rPr>
                <w:sz w:val="24"/>
                <w:szCs w:val="24"/>
              </w:rPr>
            </w:pPr>
            <w:r w:rsidRPr="00966AE1">
              <w:rPr>
                <w:sz w:val="24"/>
                <w:szCs w:val="24"/>
              </w:rPr>
              <w:t>70,59</w:t>
            </w:r>
          </w:p>
        </w:tc>
        <w:tc>
          <w:tcPr>
            <w:tcW w:w="1417" w:type="dxa"/>
            <w:tcBorders>
              <w:bottom w:val="single" w:sz="4" w:space="0" w:color="auto"/>
            </w:tcBorders>
          </w:tcPr>
          <w:p w:rsidR="00420ABB" w:rsidRPr="00966AE1" w:rsidRDefault="00420ABB" w:rsidP="00BB1E99">
            <w:pPr>
              <w:jc w:val="center"/>
              <w:rPr>
                <w:sz w:val="24"/>
                <w:szCs w:val="24"/>
              </w:rPr>
            </w:pPr>
            <w:r w:rsidRPr="00966AE1">
              <w:rPr>
                <w:sz w:val="24"/>
                <w:szCs w:val="24"/>
              </w:rPr>
              <w:t>64,78</w:t>
            </w:r>
          </w:p>
        </w:tc>
        <w:tc>
          <w:tcPr>
            <w:tcW w:w="1418" w:type="dxa"/>
            <w:tcBorders>
              <w:bottom w:val="single" w:sz="4" w:space="0" w:color="auto"/>
            </w:tcBorders>
          </w:tcPr>
          <w:p w:rsidR="00420ABB" w:rsidRPr="00966AE1" w:rsidRDefault="00420ABB" w:rsidP="00BB1E99">
            <w:pPr>
              <w:jc w:val="center"/>
              <w:rPr>
                <w:sz w:val="24"/>
                <w:szCs w:val="24"/>
              </w:rPr>
            </w:pPr>
            <w:r w:rsidRPr="00966AE1">
              <w:rPr>
                <w:sz w:val="24"/>
                <w:szCs w:val="24"/>
              </w:rPr>
              <w:t>75,94</w:t>
            </w:r>
          </w:p>
        </w:tc>
      </w:tr>
      <w:tr w:rsidR="00420ABB" w:rsidRPr="00966AE1" w:rsidTr="00BB1E99">
        <w:tc>
          <w:tcPr>
            <w:tcW w:w="1134" w:type="dxa"/>
            <w:shd w:val="clear" w:color="auto" w:fill="DBE5F1" w:themeFill="accent1" w:themeFillTint="33"/>
          </w:tcPr>
          <w:p w:rsidR="00420ABB" w:rsidRPr="00966AE1" w:rsidRDefault="00420ABB" w:rsidP="00BB1E99">
            <w:pPr>
              <w:jc w:val="center"/>
              <w:rPr>
                <w:b/>
                <w:sz w:val="24"/>
                <w:szCs w:val="24"/>
                <w:lang w:val="en-US"/>
              </w:rPr>
            </w:pPr>
            <w:r w:rsidRPr="00966AE1">
              <w:rPr>
                <w:b/>
                <w:sz w:val="24"/>
                <w:szCs w:val="24"/>
                <w:lang w:val="en-US"/>
              </w:rPr>
              <w:t>2018</w:t>
            </w:r>
          </w:p>
        </w:tc>
        <w:tc>
          <w:tcPr>
            <w:tcW w:w="1417"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70,91</w:t>
            </w:r>
          </w:p>
        </w:tc>
        <w:tc>
          <w:tcPr>
            <w:tcW w:w="1417"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65,43</w:t>
            </w:r>
          </w:p>
        </w:tc>
        <w:tc>
          <w:tcPr>
            <w:tcW w:w="1418" w:type="dxa"/>
            <w:shd w:val="clear" w:color="auto" w:fill="DBE5F1" w:themeFill="accent1" w:themeFillTint="33"/>
          </w:tcPr>
          <w:p w:rsidR="00420ABB" w:rsidRPr="00966AE1" w:rsidRDefault="00420ABB" w:rsidP="00BB1E99">
            <w:pPr>
              <w:jc w:val="center"/>
              <w:rPr>
                <w:b/>
                <w:sz w:val="24"/>
                <w:szCs w:val="24"/>
              </w:rPr>
            </w:pPr>
            <w:r w:rsidRPr="00966AE1">
              <w:rPr>
                <w:b/>
                <w:sz w:val="24"/>
                <w:szCs w:val="24"/>
              </w:rPr>
              <w:t>76,12</w:t>
            </w:r>
          </w:p>
        </w:tc>
      </w:tr>
      <w:tr w:rsidR="00420ABB" w:rsidRPr="00966AE1" w:rsidTr="00BB1E99">
        <w:tc>
          <w:tcPr>
            <w:tcW w:w="1134" w:type="dxa"/>
          </w:tcPr>
          <w:p w:rsidR="00420ABB" w:rsidRPr="00966AE1" w:rsidRDefault="00420ABB" w:rsidP="00BB1E99">
            <w:pPr>
              <w:jc w:val="center"/>
              <w:rPr>
                <w:sz w:val="24"/>
                <w:szCs w:val="24"/>
              </w:rPr>
            </w:pPr>
            <w:r w:rsidRPr="00966AE1">
              <w:rPr>
                <w:sz w:val="24"/>
                <w:szCs w:val="24"/>
              </w:rPr>
              <w:t>2019</w:t>
            </w:r>
          </w:p>
        </w:tc>
        <w:tc>
          <w:tcPr>
            <w:tcW w:w="1417" w:type="dxa"/>
          </w:tcPr>
          <w:p w:rsidR="00420ABB" w:rsidRPr="00966AE1" w:rsidRDefault="00420ABB" w:rsidP="00BB1E99">
            <w:pPr>
              <w:jc w:val="center"/>
              <w:rPr>
                <w:sz w:val="24"/>
                <w:szCs w:val="24"/>
              </w:rPr>
            </w:pPr>
            <w:r w:rsidRPr="00966AE1">
              <w:rPr>
                <w:sz w:val="24"/>
                <w:szCs w:val="24"/>
              </w:rPr>
              <w:t>71,37</w:t>
            </w:r>
          </w:p>
        </w:tc>
        <w:tc>
          <w:tcPr>
            <w:tcW w:w="1417" w:type="dxa"/>
          </w:tcPr>
          <w:p w:rsidR="00420ABB" w:rsidRPr="00966AE1" w:rsidRDefault="00420ABB" w:rsidP="00BB1E99">
            <w:pPr>
              <w:jc w:val="center"/>
              <w:rPr>
                <w:sz w:val="24"/>
                <w:szCs w:val="24"/>
              </w:rPr>
            </w:pPr>
            <w:r w:rsidRPr="00966AE1">
              <w:rPr>
                <w:sz w:val="24"/>
                <w:szCs w:val="24"/>
              </w:rPr>
              <w:t>65,96</w:t>
            </w:r>
          </w:p>
        </w:tc>
        <w:tc>
          <w:tcPr>
            <w:tcW w:w="1418" w:type="dxa"/>
          </w:tcPr>
          <w:p w:rsidR="00420ABB" w:rsidRPr="00966AE1" w:rsidRDefault="00420ABB" w:rsidP="00BB1E99">
            <w:pPr>
              <w:jc w:val="center"/>
              <w:rPr>
                <w:sz w:val="24"/>
                <w:szCs w:val="24"/>
              </w:rPr>
            </w:pPr>
            <w:r w:rsidRPr="00966AE1">
              <w:rPr>
                <w:sz w:val="24"/>
                <w:szCs w:val="24"/>
              </w:rPr>
              <w:t>76,48</w:t>
            </w:r>
          </w:p>
        </w:tc>
      </w:tr>
    </w:tbl>
    <w:p w:rsidR="00420ABB" w:rsidRPr="00966AE1" w:rsidRDefault="00420ABB" w:rsidP="00420ABB">
      <w:pPr>
        <w:jc w:val="both"/>
        <w:rPr>
          <w:sz w:val="6"/>
          <w:szCs w:val="24"/>
        </w:rPr>
      </w:pPr>
      <w:r w:rsidRPr="00966AE1">
        <w:rPr>
          <w:sz w:val="24"/>
          <w:szCs w:val="24"/>
        </w:rPr>
        <w:tab/>
      </w:r>
    </w:p>
    <w:p w:rsidR="00420ABB" w:rsidRPr="00966AE1" w:rsidRDefault="00420ABB" w:rsidP="00420ABB">
      <w:pPr>
        <w:ind w:left="3540" w:firstLine="146"/>
        <w:jc w:val="both"/>
        <w:rPr>
          <w:sz w:val="14"/>
          <w:szCs w:val="10"/>
        </w:rPr>
      </w:pPr>
    </w:p>
    <w:p w:rsidR="00420ABB" w:rsidRPr="00966AE1" w:rsidRDefault="003A499E" w:rsidP="00420ABB">
      <w:pPr>
        <w:spacing w:line="288" w:lineRule="auto"/>
        <w:ind w:firstLine="720"/>
        <w:jc w:val="both"/>
        <w:rPr>
          <w:sz w:val="24"/>
          <w:szCs w:val="24"/>
        </w:rPr>
      </w:pPr>
      <w:r>
        <w:rPr>
          <w:sz w:val="24"/>
          <w:szCs w:val="24"/>
        </w:rPr>
        <w:t>У</w:t>
      </w:r>
      <w:r w:rsidR="00420ABB" w:rsidRPr="00966AE1">
        <w:rPr>
          <w:sz w:val="24"/>
          <w:szCs w:val="24"/>
        </w:rPr>
        <w:t>стойчивым параметром демографии является положительное сальдо миграции, непрерывно сохраняющее</w:t>
      </w:r>
      <w:r w:rsidR="00A67AF0">
        <w:rPr>
          <w:sz w:val="24"/>
          <w:szCs w:val="24"/>
        </w:rPr>
        <w:t>ся</w:t>
      </w:r>
      <w:r w:rsidR="00420ABB" w:rsidRPr="00966AE1">
        <w:rPr>
          <w:sz w:val="24"/>
          <w:szCs w:val="24"/>
        </w:rPr>
        <w:t xml:space="preserve"> в городе Твери с 2004 года, тогда как в ряде областных центров Центрального Федерального округа Российской Федерации </w:t>
      </w:r>
      <w:r w:rsidR="00036D8C">
        <w:rPr>
          <w:sz w:val="24"/>
          <w:szCs w:val="24"/>
        </w:rPr>
        <w:t>отмечен</w:t>
      </w:r>
      <w:r w:rsidR="00B74A84">
        <w:rPr>
          <w:sz w:val="24"/>
          <w:szCs w:val="24"/>
        </w:rPr>
        <w:t xml:space="preserve"> </w:t>
      </w:r>
      <w:r w:rsidR="00420ABB" w:rsidRPr="00966AE1">
        <w:rPr>
          <w:sz w:val="24"/>
          <w:szCs w:val="24"/>
        </w:rPr>
        <w:t xml:space="preserve">отток мигрантов. </w:t>
      </w:r>
      <w:r>
        <w:rPr>
          <w:sz w:val="24"/>
          <w:szCs w:val="24"/>
        </w:rPr>
        <w:t>В</w:t>
      </w:r>
      <w:r w:rsidR="00420ABB" w:rsidRPr="00966AE1">
        <w:rPr>
          <w:sz w:val="24"/>
          <w:szCs w:val="24"/>
        </w:rPr>
        <w:t xml:space="preserve"> 2018 год</w:t>
      </w:r>
      <w:r>
        <w:rPr>
          <w:sz w:val="24"/>
          <w:szCs w:val="24"/>
        </w:rPr>
        <w:t xml:space="preserve">у </w:t>
      </w:r>
      <w:r w:rsidR="00420ABB" w:rsidRPr="00966AE1">
        <w:rPr>
          <w:sz w:val="24"/>
          <w:szCs w:val="24"/>
        </w:rPr>
        <w:t xml:space="preserve">миграционный прирост на 20,8% </w:t>
      </w:r>
      <w:r>
        <w:rPr>
          <w:sz w:val="24"/>
          <w:szCs w:val="24"/>
        </w:rPr>
        <w:t>(+</w:t>
      </w:r>
      <w:r w:rsidR="00420ABB" w:rsidRPr="00966AE1">
        <w:rPr>
          <w:sz w:val="24"/>
          <w:szCs w:val="24"/>
        </w:rPr>
        <w:t>2116 мигрантов</w:t>
      </w:r>
      <w:r>
        <w:rPr>
          <w:sz w:val="24"/>
          <w:szCs w:val="24"/>
        </w:rPr>
        <w:t>)</w:t>
      </w:r>
      <w:r w:rsidR="00036D8C">
        <w:rPr>
          <w:sz w:val="24"/>
          <w:szCs w:val="24"/>
        </w:rPr>
        <w:t xml:space="preserve"> превысил уровень 2017 года</w:t>
      </w:r>
      <w:r w:rsidR="00420ABB" w:rsidRPr="00966AE1">
        <w:rPr>
          <w:sz w:val="24"/>
          <w:szCs w:val="24"/>
        </w:rPr>
        <w:t>, что позволило перекрыть естественную убыль горожан</w:t>
      </w:r>
      <w:r>
        <w:rPr>
          <w:sz w:val="24"/>
          <w:szCs w:val="24"/>
        </w:rPr>
        <w:t xml:space="preserve"> (-1331 человек)</w:t>
      </w:r>
      <w:r w:rsidR="00420ABB" w:rsidRPr="00966AE1">
        <w:rPr>
          <w:sz w:val="24"/>
          <w:szCs w:val="24"/>
        </w:rPr>
        <w:t xml:space="preserve"> в 1,6 раза. </w:t>
      </w:r>
    </w:p>
    <w:p w:rsidR="00420ABB" w:rsidRPr="00966AE1" w:rsidRDefault="00735861" w:rsidP="00420ABB">
      <w:pPr>
        <w:spacing w:line="288" w:lineRule="auto"/>
        <w:ind w:firstLine="720"/>
        <w:jc w:val="both"/>
        <w:rPr>
          <w:sz w:val="24"/>
          <w:szCs w:val="24"/>
        </w:rPr>
      </w:pPr>
      <w:r>
        <w:rPr>
          <w:sz w:val="24"/>
          <w:szCs w:val="24"/>
        </w:rPr>
        <w:t xml:space="preserve">Естественное движение населения города Твери </w:t>
      </w:r>
      <w:r w:rsidR="000A127E">
        <w:rPr>
          <w:sz w:val="24"/>
          <w:szCs w:val="24"/>
        </w:rPr>
        <w:t>за 7 месяцев</w:t>
      </w:r>
      <w:r w:rsidR="00420ABB" w:rsidRPr="00966AE1">
        <w:rPr>
          <w:sz w:val="24"/>
          <w:szCs w:val="24"/>
        </w:rPr>
        <w:t xml:space="preserve"> 2019 года </w:t>
      </w:r>
      <w:r>
        <w:rPr>
          <w:sz w:val="24"/>
          <w:szCs w:val="24"/>
        </w:rPr>
        <w:t xml:space="preserve">характеризовалось </w:t>
      </w:r>
      <w:r w:rsidR="003A499E">
        <w:rPr>
          <w:sz w:val="24"/>
          <w:szCs w:val="24"/>
        </w:rPr>
        <w:t>ро</w:t>
      </w:r>
      <w:r>
        <w:rPr>
          <w:sz w:val="24"/>
          <w:szCs w:val="24"/>
        </w:rPr>
        <w:t xml:space="preserve">ждением </w:t>
      </w:r>
      <w:r w:rsidR="003A499E">
        <w:rPr>
          <w:sz w:val="24"/>
          <w:szCs w:val="24"/>
        </w:rPr>
        <w:t>2</w:t>
      </w:r>
      <w:r w:rsidR="000A127E">
        <w:rPr>
          <w:sz w:val="24"/>
          <w:szCs w:val="24"/>
        </w:rPr>
        <w:t>392</w:t>
      </w:r>
      <w:r w:rsidR="003A499E">
        <w:rPr>
          <w:sz w:val="24"/>
          <w:szCs w:val="24"/>
        </w:rPr>
        <w:t xml:space="preserve"> детей,</w:t>
      </w:r>
      <w:r>
        <w:rPr>
          <w:sz w:val="24"/>
          <w:szCs w:val="24"/>
        </w:rPr>
        <w:t xml:space="preserve"> что на </w:t>
      </w:r>
      <w:r w:rsidR="000A127E">
        <w:rPr>
          <w:sz w:val="24"/>
          <w:szCs w:val="24"/>
        </w:rPr>
        <w:t>1,5</w:t>
      </w:r>
      <w:r w:rsidR="00420ABB" w:rsidRPr="00966AE1">
        <w:rPr>
          <w:sz w:val="24"/>
          <w:szCs w:val="24"/>
        </w:rPr>
        <w:t xml:space="preserve">% </w:t>
      </w:r>
      <w:r>
        <w:rPr>
          <w:sz w:val="24"/>
          <w:szCs w:val="24"/>
        </w:rPr>
        <w:t xml:space="preserve">ниже </w:t>
      </w:r>
      <w:r w:rsidR="00420ABB" w:rsidRPr="00966AE1">
        <w:rPr>
          <w:sz w:val="24"/>
          <w:szCs w:val="24"/>
        </w:rPr>
        <w:t>прошлогоднего периода,</w:t>
      </w:r>
      <w:r>
        <w:rPr>
          <w:sz w:val="24"/>
          <w:szCs w:val="24"/>
        </w:rPr>
        <w:t xml:space="preserve"> </w:t>
      </w:r>
      <w:r w:rsidR="00036D8C">
        <w:rPr>
          <w:sz w:val="24"/>
          <w:szCs w:val="24"/>
        </w:rPr>
        <w:t xml:space="preserve">при </w:t>
      </w:r>
      <w:r>
        <w:rPr>
          <w:sz w:val="24"/>
          <w:szCs w:val="24"/>
        </w:rPr>
        <w:t>сокращени</w:t>
      </w:r>
      <w:r w:rsidR="00036D8C">
        <w:rPr>
          <w:sz w:val="24"/>
          <w:szCs w:val="24"/>
        </w:rPr>
        <w:t>и</w:t>
      </w:r>
      <w:r>
        <w:rPr>
          <w:sz w:val="24"/>
          <w:szCs w:val="24"/>
        </w:rPr>
        <w:t xml:space="preserve"> </w:t>
      </w:r>
      <w:r w:rsidR="00420ABB" w:rsidRPr="00966AE1">
        <w:rPr>
          <w:sz w:val="24"/>
          <w:szCs w:val="24"/>
        </w:rPr>
        <w:t>смертност</w:t>
      </w:r>
      <w:r>
        <w:rPr>
          <w:sz w:val="24"/>
          <w:szCs w:val="24"/>
        </w:rPr>
        <w:t xml:space="preserve">и горожан </w:t>
      </w:r>
      <w:r w:rsidR="00420ABB" w:rsidRPr="00966AE1">
        <w:rPr>
          <w:sz w:val="24"/>
          <w:szCs w:val="24"/>
        </w:rPr>
        <w:t xml:space="preserve">на </w:t>
      </w:r>
      <w:r w:rsidR="000A127E">
        <w:rPr>
          <w:sz w:val="24"/>
          <w:szCs w:val="24"/>
        </w:rPr>
        <w:t>1,4</w:t>
      </w:r>
      <w:r w:rsidR="00420ABB" w:rsidRPr="00966AE1">
        <w:rPr>
          <w:sz w:val="24"/>
          <w:szCs w:val="24"/>
        </w:rPr>
        <w:t xml:space="preserve">% до </w:t>
      </w:r>
      <w:r w:rsidR="000A127E">
        <w:rPr>
          <w:sz w:val="24"/>
          <w:szCs w:val="24"/>
        </w:rPr>
        <w:t>3347</w:t>
      </w:r>
      <w:r w:rsidR="00420ABB" w:rsidRPr="00966AE1">
        <w:rPr>
          <w:sz w:val="24"/>
          <w:szCs w:val="24"/>
        </w:rPr>
        <w:t xml:space="preserve"> человек.</w:t>
      </w:r>
      <w:r w:rsidR="003059E2">
        <w:rPr>
          <w:sz w:val="24"/>
          <w:szCs w:val="24"/>
        </w:rPr>
        <w:t xml:space="preserve"> </w:t>
      </w:r>
      <w:r>
        <w:rPr>
          <w:sz w:val="24"/>
          <w:szCs w:val="24"/>
        </w:rPr>
        <w:t xml:space="preserve">Образовавшаяся естественная убыль горожан </w:t>
      </w:r>
      <w:r w:rsidR="00214EB0">
        <w:rPr>
          <w:sz w:val="24"/>
          <w:szCs w:val="24"/>
        </w:rPr>
        <w:t>(-</w:t>
      </w:r>
      <w:r w:rsidR="000A127E">
        <w:rPr>
          <w:sz w:val="24"/>
          <w:szCs w:val="24"/>
        </w:rPr>
        <w:t>955</w:t>
      </w:r>
      <w:r>
        <w:rPr>
          <w:sz w:val="24"/>
          <w:szCs w:val="24"/>
        </w:rPr>
        <w:t xml:space="preserve"> человек</w:t>
      </w:r>
      <w:r w:rsidR="00214EB0">
        <w:rPr>
          <w:sz w:val="24"/>
          <w:szCs w:val="24"/>
        </w:rPr>
        <w:t>)</w:t>
      </w:r>
      <w:r>
        <w:rPr>
          <w:sz w:val="24"/>
          <w:szCs w:val="24"/>
        </w:rPr>
        <w:t xml:space="preserve"> была перекрыта </w:t>
      </w:r>
      <w:r w:rsidR="003059E2">
        <w:rPr>
          <w:sz w:val="24"/>
          <w:szCs w:val="24"/>
        </w:rPr>
        <w:t>прирост</w:t>
      </w:r>
      <w:r>
        <w:rPr>
          <w:sz w:val="24"/>
          <w:szCs w:val="24"/>
        </w:rPr>
        <w:t xml:space="preserve">ом </w:t>
      </w:r>
      <w:r w:rsidR="003059E2" w:rsidRPr="00966AE1">
        <w:rPr>
          <w:sz w:val="24"/>
          <w:szCs w:val="24"/>
        </w:rPr>
        <w:t>мигра</w:t>
      </w:r>
      <w:r w:rsidR="003059E2">
        <w:rPr>
          <w:sz w:val="24"/>
          <w:szCs w:val="24"/>
        </w:rPr>
        <w:t>нтов</w:t>
      </w:r>
      <w:r>
        <w:rPr>
          <w:sz w:val="24"/>
          <w:szCs w:val="24"/>
        </w:rPr>
        <w:t xml:space="preserve"> (</w:t>
      </w:r>
      <w:r w:rsidR="00214EB0">
        <w:rPr>
          <w:sz w:val="24"/>
          <w:szCs w:val="24"/>
        </w:rPr>
        <w:t>+</w:t>
      </w:r>
      <w:r>
        <w:rPr>
          <w:sz w:val="24"/>
          <w:szCs w:val="24"/>
        </w:rPr>
        <w:t>2</w:t>
      </w:r>
      <w:r w:rsidR="000A127E">
        <w:rPr>
          <w:sz w:val="24"/>
          <w:szCs w:val="24"/>
        </w:rPr>
        <w:t>220</w:t>
      </w:r>
      <w:r>
        <w:rPr>
          <w:sz w:val="24"/>
          <w:szCs w:val="24"/>
        </w:rPr>
        <w:t xml:space="preserve"> человек)</w:t>
      </w:r>
      <w:r w:rsidR="00036D8C">
        <w:rPr>
          <w:sz w:val="24"/>
          <w:szCs w:val="24"/>
        </w:rPr>
        <w:t xml:space="preserve"> в 2,3 раза</w:t>
      </w:r>
      <w:r w:rsidR="00420ABB" w:rsidRPr="00966AE1">
        <w:rPr>
          <w:sz w:val="24"/>
          <w:szCs w:val="24"/>
        </w:rPr>
        <w:t xml:space="preserve">. </w:t>
      </w:r>
    </w:p>
    <w:p w:rsidR="00420ABB" w:rsidRPr="003059E2" w:rsidRDefault="00420ABB" w:rsidP="00420ABB">
      <w:pPr>
        <w:spacing w:line="288" w:lineRule="auto"/>
        <w:ind w:firstLine="720"/>
        <w:jc w:val="both"/>
        <w:rPr>
          <w:rFonts w:eastAsia="Calibri"/>
          <w:sz w:val="24"/>
          <w:szCs w:val="28"/>
          <w:lang w:eastAsia="en-US"/>
        </w:rPr>
      </w:pPr>
      <w:r w:rsidRPr="003059E2">
        <w:rPr>
          <w:rFonts w:eastAsia="Calibri"/>
          <w:sz w:val="24"/>
          <w:szCs w:val="28"/>
          <w:lang w:eastAsia="en-US"/>
        </w:rPr>
        <w:t>О том, как в отдельные годы менялись показатели рождаемости, смертности и естественной убыли показано ниже</w:t>
      </w:r>
      <w:r w:rsidR="003059E2">
        <w:rPr>
          <w:rFonts w:eastAsia="Calibri"/>
          <w:sz w:val="24"/>
          <w:szCs w:val="28"/>
          <w:lang w:eastAsia="en-US"/>
        </w:rPr>
        <w:t>. С</w:t>
      </w:r>
      <w:r w:rsidR="003059E2" w:rsidRPr="003059E2">
        <w:rPr>
          <w:rFonts w:eastAsia="Calibri"/>
          <w:sz w:val="24"/>
          <w:szCs w:val="28"/>
          <w:lang w:eastAsia="en-US"/>
        </w:rPr>
        <w:t xml:space="preserve">ледует отметить, что </w:t>
      </w:r>
      <w:r w:rsidRPr="003059E2">
        <w:rPr>
          <w:rFonts w:eastAsia="Calibri"/>
          <w:sz w:val="24"/>
          <w:szCs w:val="28"/>
          <w:lang w:eastAsia="en-US"/>
        </w:rPr>
        <w:t>превышени</w:t>
      </w:r>
      <w:r w:rsidR="003059E2" w:rsidRPr="003059E2">
        <w:rPr>
          <w:rFonts w:eastAsia="Calibri"/>
          <w:sz w:val="24"/>
          <w:szCs w:val="28"/>
          <w:lang w:eastAsia="en-US"/>
        </w:rPr>
        <w:t>е</w:t>
      </w:r>
      <w:r w:rsidRPr="003059E2">
        <w:rPr>
          <w:rFonts w:eastAsia="Calibri"/>
          <w:sz w:val="24"/>
          <w:szCs w:val="28"/>
          <w:lang w:eastAsia="en-US"/>
        </w:rPr>
        <w:t xml:space="preserve"> смертности над рождаемостью </w:t>
      </w:r>
      <w:r w:rsidR="003059E2" w:rsidRPr="003059E2">
        <w:rPr>
          <w:rFonts w:eastAsia="Calibri"/>
          <w:sz w:val="24"/>
          <w:szCs w:val="28"/>
          <w:lang w:eastAsia="en-US"/>
        </w:rPr>
        <w:t xml:space="preserve">в городе Твери </w:t>
      </w:r>
      <w:r w:rsidRPr="003059E2">
        <w:rPr>
          <w:rFonts w:eastAsia="Calibri"/>
          <w:sz w:val="24"/>
          <w:szCs w:val="28"/>
          <w:lang w:eastAsia="en-US"/>
        </w:rPr>
        <w:t>непрерыв</w:t>
      </w:r>
      <w:r w:rsidR="003059E2" w:rsidRPr="003059E2">
        <w:rPr>
          <w:rFonts w:eastAsia="Calibri"/>
          <w:sz w:val="24"/>
          <w:szCs w:val="28"/>
          <w:lang w:eastAsia="en-US"/>
        </w:rPr>
        <w:t>но</w:t>
      </w:r>
      <w:r w:rsidRPr="003059E2">
        <w:rPr>
          <w:rFonts w:eastAsia="Calibri"/>
          <w:sz w:val="24"/>
          <w:szCs w:val="28"/>
          <w:lang w:eastAsia="en-US"/>
        </w:rPr>
        <w:t xml:space="preserve"> с 199</w:t>
      </w:r>
      <w:r w:rsidR="003C3237">
        <w:rPr>
          <w:rFonts w:eastAsia="Calibri"/>
          <w:sz w:val="24"/>
          <w:szCs w:val="28"/>
          <w:lang w:eastAsia="en-US"/>
        </w:rPr>
        <w:t>0</w:t>
      </w:r>
      <w:r w:rsidRPr="003059E2">
        <w:rPr>
          <w:rFonts w:eastAsia="Calibri"/>
          <w:sz w:val="24"/>
          <w:szCs w:val="28"/>
          <w:lang w:eastAsia="en-US"/>
        </w:rPr>
        <w:t xml:space="preserve"> года: </w:t>
      </w:r>
    </w:p>
    <w:p w:rsidR="00420ABB" w:rsidRPr="003059E2" w:rsidRDefault="00420ABB" w:rsidP="00420ABB">
      <w:pPr>
        <w:jc w:val="center"/>
        <w:rPr>
          <w:sz w:val="12"/>
          <w:szCs w:val="24"/>
        </w:rPr>
      </w:pPr>
    </w:p>
    <w:p w:rsidR="005935D5" w:rsidRDefault="005935D5" w:rsidP="00420ABB">
      <w:pPr>
        <w:jc w:val="center"/>
        <w:rPr>
          <w:b/>
          <w:sz w:val="24"/>
          <w:szCs w:val="24"/>
        </w:rPr>
      </w:pPr>
    </w:p>
    <w:p w:rsidR="00420ABB" w:rsidRDefault="00420ABB" w:rsidP="00420ABB">
      <w:pPr>
        <w:jc w:val="center"/>
        <w:rPr>
          <w:b/>
          <w:sz w:val="24"/>
          <w:szCs w:val="24"/>
        </w:rPr>
      </w:pPr>
      <w:r w:rsidRPr="003059E2">
        <w:rPr>
          <w:b/>
          <w:sz w:val="24"/>
          <w:szCs w:val="24"/>
        </w:rPr>
        <w:lastRenderedPageBreak/>
        <w:t>Динамика естественного движения населения</w:t>
      </w:r>
      <w:r w:rsidRPr="00966AE1">
        <w:rPr>
          <w:b/>
          <w:sz w:val="24"/>
          <w:szCs w:val="24"/>
        </w:rPr>
        <w:t xml:space="preserve"> в городе Твери </w:t>
      </w:r>
    </w:p>
    <w:p w:rsidR="00420ABB" w:rsidRDefault="00420ABB" w:rsidP="00420ABB">
      <w:pPr>
        <w:jc w:val="center"/>
        <w:rPr>
          <w:b/>
          <w:sz w:val="24"/>
          <w:szCs w:val="24"/>
        </w:rPr>
      </w:pPr>
      <w:r w:rsidRPr="00966AE1">
        <w:rPr>
          <w:b/>
          <w:sz w:val="24"/>
          <w:szCs w:val="24"/>
        </w:rPr>
        <w:t>в 1985-2018 годах</w:t>
      </w:r>
    </w:p>
    <w:p w:rsidR="003C3237" w:rsidRPr="00354F1F" w:rsidRDefault="003C3237" w:rsidP="00420ABB">
      <w:pPr>
        <w:jc w:val="center"/>
        <w:rPr>
          <w:sz w:val="18"/>
          <w:szCs w:val="24"/>
        </w:rPr>
      </w:pPr>
    </w:p>
    <w:tbl>
      <w:tblPr>
        <w:tblStyle w:val="af1"/>
        <w:tblW w:w="0" w:type="auto"/>
        <w:tblInd w:w="108" w:type="dxa"/>
        <w:tblLayout w:type="fixed"/>
        <w:tblLook w:val="04A0" w:firstRow="1" w:lastRow="0" w:firstColumn="1" w:lastColumn="0" w:noHBand="0" w:noVBand="1"/>
      </w:tblPr>
      <w:tblGrid>
        <w:gridCol w:w="2268"/>
        <w:gridCol w:w="882"/>
        <w:gridCol w:w="882"/>
        <w:gridCol w:w="882"/>
        <w:gridCol w:w="882"/>
        <w:gridCol w:w="882"/>
        <w:gridCol w:w="882"/>
        <w:gridCol w:w="882"/>
        <w:gridCol w:w="882"/>
        <w:gridCol w:w="882"/>
      </w:tblGrid>
      <w:tr w:rsidR="00420ABB" w:rsidRPr="000D794F" w:rsidTr="00BB1E99">
        <w:trPr>
          <w:trHeight w:val="222"/>
        </w:trPr>
        <w:tc>
          <w:tcPr>
            <w:tcW w:w="2268" w:type="dxa"/>
            <w:tcBorders>
              <w:right w:val="single" w:sz="4" w:space="0" w:color="auto"/>
            </w:tcBorders>
          </w:tcPr>
          <w:p w:rsidR="00420ABB" w:rsidRPr="000D794F" w:rsidRDefault="00420ABB" w:rsidP="00BB1E99">
            <w:pPr>
              <w:spacing w:before="40" w:after="40"/>
              <w:jc w:val="center"/>
              <w:rPr>
                <w:rFonts w:eastAsia="Calibri"/>
                <w:b/>
                <w:sz w:val="22"/>
                <w:szCs w:val="22"/>
                <w:lang w:eastAsia="en-US"/>
              </w:rPr>
            </w:pP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1985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1990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1995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2005</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0D794F" w:rsidRDefault="00420ABB" w:rsidP="00BB1E99">
            <w:pPr>
              <w:spacing w:before="40" w:after="40"/>
              <w:jc w:val="center"/>
              <w:rPr>
                <w:b/>
                <w:sz w:val="22"/>
                <w:szCs w:val="22"/>
              </w:rPr>
            </w:pPr>
            <w:r w:rsidRPr="000D794F">
              <w:rPr>
                <w:b/>
                <w:sz w:val="22"/>
                <w:szCs w:val="22"/>
              </w:rPr>
              <w:t>2017</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0D794F" w:rsidRDefault="00420ABB" w:rsidP="00BB1E99">
            <w:pPr>
              <w:spacing w:before="40" w:after="40"/>
              <w:jc w:val="center"/>
              <w:rPr>
                <w:rFonts w:eastAsia="Calibri"/>
                <w:b/>
                <w:sz w:val="22"/>
                <w:szCs w:val="22"/>
                <w:lang w:eastAsia="en-US"/>
              </w:rPr>
            </w:pPr>
            <w:r w:rsidRPr="000D794F">
              <w:rPr>
                <w:rFonts w:eastAsia="Calibri"/>
                <w:b/>
                <w:sz w:val="22"/>
                <w:szCs w:val="22"/>
                <w:lang w:eastAsia="en-US"/>
              </w:rPr>
              <w:t>2018</w:t>
            </w:r>
          </w:p>
        </w:tc>
      </w:tr>
      <w:tr w:rsidR="00420ABB" w:rsidRPr="00966AE1" w:rsidTr="00BB1E99">
        <w:tc>
          <w:tcPr>
            <w:tcW w:w="2268" w:type="dxa"/>
            <w:tcBorders>
              <w:right w:val="single" w:sz="4" w:space="0" w:color="auto"/>
            </w:tcBorders>
          </w:tcPr>
          <w:p w:rsidR="00420ABB" w:rsidRPr="00966AE1" w:rsidRDefault="00420ABB" w:rsidP="00354F1F">
            <w:pPr>
              <w:rPr>
                <w:rFonts w:eastAsia="Calibri"/>
                <w:sz w:val="22"/>
                <w:szCs w:val="22"/>
                <w:lang w:eastAsia="en-US"/>
              </w:rPr>
            </w:pPr>
            <w:proofErr w:type="gramStart"/>
            <w:r w:rsidRPr="00966AE1">
              <w:rPr>
                <w:rFonts w:eastAsia="Calibri"/>
                <w:sz w:val="22"/>
                <w:szCs w:val="22"/>
                <w:lang w:eastAsia="en-US"/>
              </w:rPr>
              <w:t>Родивши</w:t>
            </w:r>
            <w:r w:rsidR="003C3237">
              <w:rPr>
                <w:rFonts w:eastAsia="Calibri"/>
                <w:sz w:val="22"/>
                <w:szCs w:val="22"/>
                <w:lang w:eastAsia="en-US"/>
              </w:rPr>
              <w:t>е</w:t>
            </w:r>
            <w:r w:rsidRPr="00966AE1">
              <w:rPr>
                <w:rFonts w:eastAsia="Calibri"/>
                <w:sz w:val="22"/>
                <w:szCs w:val="22"/>
                <w:lang w:eastAsia="en-US"/>
              </w:rPr>
              <w:t>ся</w:t>
            </w:r>
            <w:proofErr w:type="gramEnd"/>
            <w:r w:rsidRPr="00966AE1">
              <w:rPr>
                <w:rFonts w:eastAsia="Calibri"/>
                <w:sz w:val="22"/>
                <w:szCs w:val="22"/>
                <w:lang w:eastAsia="en-US"/>
              </w:rPr>
              <w:t xml:space="preserve">, </w:t>
            </w:r>
            <w:r w:rsidRPr="00966AE1">
              <w:rPr>
                <w:rFonts w:eastAsia="Calibri"/>
                <w:i/>
                <w:sz w:val="22"/>
                <w:szCs w:val="22"/>
                <w:lang w:eastAsia="en-US"/>
              </w:rPr>
              <w:t xml:space="preserve">детей </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5800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4837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3149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3122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3606</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4473</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5190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sz w:val="22"/>
                <w:szCs w:val="22"/>
              </w:rPr>
            </w:pPr>
            <w:r w:rsidRPr="00966AE1">
              <w:rPr>
                <w:sz w:val="22"/>
                <w:szCs w:val="22"/>
              </w:rPr>
              <w:t>4674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4225</w:t>
            </w:r>
          </w:p>
        </w:tc>
      </w:tr>
      <w:tr w:rsidR="00420ABB" w:rsidRPr="00966AE1" w:rsidTr="00BB1E99">
        <w:tc>
          <w:tcPr>
            <w:tcW w:w="2268" w:type="dxa"/>
            <w:tcBorders>
              <w:right w:val="single" w:sz="4" w:space="0" w:color="auto"/>
            </w:tcBorders>
          </w:tcPr>
          <w:p w:rsidR="00420ABB" w:rsidRPr="00966AE1" w:rsidRDefault="00420ABB" w:rsidP="00354F1F">
            <w:pPr>
              <w:rPr>
                <w:rFonts w:eastAsia="Calibri"/>
                <w:sz w:val="22"/>
                <w:szCs w:val="22"/>
                <w:lang w:eastAsia="en-US"/>
              </w:rPr>
            </w:pPr>
            <w:proofErr w:type="gramStart"/>
            <w:r w:rsidRPr="00966AE1">
              <w:rPr>
                <w:rFonts w:eastAsia="Calibri"/>
                <w:sz w:val="22"/>
                <w:szCs w:val="22"/>
                <w:lang w:eastAsia="en-US"/>
              </w:rPr>
              <w:t>Умерши</w:t>
            </w:r>
            <w:r w:rsidR="003C3237">
              <w:rPr>
                <w:rFonts w:eastAsia="Calibri"/>
                <w:sz w:val="22"/>
                <w:szCs w:val="22"/>
                <w:lang w:eastAsia="en-US"/>
              </w:rPr>
              <w:t>е</w:t>
            </w:r>
            <w:proofErr w:type="gramEnd"/>
            <w:r w:rsidRPr="00966AE1">
              <w:rPr>
                <w:rFonts w:eastAsia="Calibri"/>
                <w:sz w:val="22"/>
                <w:szCs w:val="22"/>
                <w:lang w:eastAsia="en-US"/>
              </w:rPr>
              <w:t xml:space="preserve">, </w:t>
            </w:r>
            <w:r w:rsidRPr="00966AE1">
              <w:rPr>
                <w:rFonts w:eastAsia="Calibri"/>
                <w:i/>
                <w:sz w:val="22"/>
                <w:szCs w:val="22"/>
                <w:lang w:eastAsia="en-US"/>
              </w:rPr>
              <w:t xml:space="preserve">человек </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4500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4961</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6862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7158</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6926</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6461</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5975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sz w:val="22"/>
                <w:szCs w:val="22"/>
              </w:rPr>
            </w:pPr>
            <w:r w:rsidRPr="00966AE1">
              <w:rPr>
                <w:sz w:val="22"/>
                <w:szCs w:val="22"/>
              </w:rPr>
              <w:t>5724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jc w:val="center"/>
              <w:rPr>
                <w:rFonts w:eastAsia="Calibri"/>
                <w:sz w:val="22"/>
                <w:szCs w:val="22"/>
                <w:lang w:eastAsia="en-US"/>
              </w:rPr>
            </w:pPr>
            <w:r w:rsidRPr="00966AE1">
              <w:rPr>
                <w:rFonts w:eastAsia="Calibri"/>
                <w:sz w:val="22"/>
                <w:szCs w:val="22"/>
                <w:lang w:eastAsia="en-US"/>
              </w:rPr>
              <w:t>5556</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Естественная </w:t>
            </w:r>
            <w:r w:rsidRPr="00966AE1">
              <w:rPr>
                <w:rFonts w:eastAsia="Calibri"/>
                <w:sz w:val="22"/>
                <w:szCs w:val="22"/>
                <w:lang w:eastAsia="en-US"/>
              </w:rPr>
              <w:br/>
              <w:t xml:space="preserve">убыль населения, </w:t>
            </w:r>
            <w:r w:rsidRPr="00966AE1">
              <w:rPr>
                <w:rFonts w:eastAsia="Calibri"/>
                <w:sz w:val="22"/>
                <w:szCs w:val="22"/>
                <w:lang w:eastAsia="en-US"/>
              </w:rPr>
              <w:br/>
            </w:r>
            <w:r w:rsidRPr="00966AE1">
              <w:rPr>
                <w:rFonts w:eastAsia="Calibri"/>
                <w:i/>
                <w:sz w:val="22"/>
                <w:szCs w:val="22"/>
                <w:lang w:eastAsia="en-US"/>
              </w:rPr>
              <w:t>человек</w:t>
            </w:r>
            <w:proofErr w:type="gramStart"/>
            <w:r w:rsidRPr="00966AE1">
              <w:rPr>
                <w:rFonts w:eastAsia="Calibri"/>
                <w:i/>
                <w:sz w:val="22"/>
                <w:szCs w:val="22"/>
                <w:lang w:eastAsia="en-US"/>
              </w:rPr>
              <w:t xml:space="preserve"> (+, -)</w:t>
            </w:r>
            <w:proofErr w:type="gramEnd"/>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b/>
                <w:sz w:val="22"/>
                <w:szCs w:val="22"/>
                <w:lang w:eastAsia="en-US"/>
              </w:rPr>
              <w:t>+</w:t>
            </w:r>
            <w:r w:rsidRPr="00966AE1">
              <w:rPr>
                <w:rFonts w:eastAsia="Calibri"/>
                <w:sz w:val="22"/>
                <w:szCs w:val="22"/>
                <w:lang w:eastAsia="en-US"/>
              </w:rPr>
              <w:t>1300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-124</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-3713</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-4036</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-3320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-1988</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-785</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i/>
                <w:sz w:val="22"/>
                <w:szCs w:val="22"/>
              </w:rPr>
            </w:pPr>
            <w:r w:rsidRPr="00966AE1">
              <w:rPr>
                <w:i/>
                <w:sz w:val="22"/>
                <w:szCs w:val="22"/>
              </w:rPr>
              <w:t>-1050</w:t>
            </w:r>
          </w:p>
        </w:tc>
        <w:tc>
          <w:tcPr>
            <w:tcW w:w="8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20ABB" w:rsidRPr="00966AE1" w:rsidRDefault="00420ABB" w:rsidP="00354F1F">
            <w:pPr>
              <w:spacing w:line="216" w:lineRule="auto"/>
              <w:jc w:val="center"/>
              <w:rPr>
                <w:rFonts w:eastAsia="Calibri"/>
                <w:i/>
                <w:sz w:val="22"/>
                <w:szCs w:val="22"/>
                <w:lang w:eastAsia="en-US"/>
              </w:rPr>
            </w:pPr>
            <w:r w:rsidRPr="00966AE1">
              <w:rPr>
                <w:rFonts w:eastAsia="Calibri"/>
                <w:i/>
                <w:sz w:val="22"/>
                <w:szCs w:val="22"/>
                <w:lang w:eastAsia="en-US"/>
              </w:rPr>
              <w:t>-1331</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Общий коэффициент рождаемости, </w:t>
            </w:r>
          </w:p>
          <w:p w:rsidR="00420ABB" w:rsidRPr="00966AE1" w:rsidRDefault="00420ABB" w:rsidP="00354F1F">
            <w:pPr>
              <w:spacing w:line="216" w:lineRule="auto"/>
              <w:rPr>
                <w:rFonts w:eastAsia="Calibri"/>
                <w:i/>
                <w:sz w:val="22"/>
                <w:szCs w:val="22"/>
                <w:lang w:eastAsia="en-US"/>
              </w:rPr>
            </w:pPr>
            <w:r w:rsidRPr="00966AE1">
              <w:rPr>
                <w:rFonts w:eastAsia="Calibri"/>
                <w:i/>
                <w:sz w:val="22"/>
                <w:szCs w:val="22"/>
                <w:lang w:eastAsia="en-US"/>
              </w:rPr>
              <w:t xml:space="preserve">число </w:t>
            </w:r>
            <w:proofErr w:type="gramStart"/>
            <w:r w:rsidRPr="00966AE1">
              <w:rPr>
                <w:rFonts w:eastAsia="Calibri"/>
                <w:i/>
                <w:sz w:val="22"/>
                <w:szCs w:val="22"/>
                <w:lang w:eastAsia="en-US"/>
              </w:rPr>
              <w:t>родившихся</w:t>
            </w:r>
            <w:proofErr w:type="gramEnd"/>
            <w:r w:rsidRPr="00966AE1">
              <w:rPr>
                <w:rFonts w:eastAsia="Calibri"/>
                <w:i/>
                <w:sz w:val="22"/>
                <w:szCs w:val="22"/>
                <w:lang w:eastAsia="en-US"/>
              </w:rPr>
              <w:t xml:space="preserve"> </w:t>
            </w:r>
          </w:p>
          <w:p w:rsidR="00420ABB" w:rsidRPr="00966AE1" w:rsidRDefault="00420ABB" w:rsidP="00354F1F">
            <w:pPr>
              <w:spacing w:line="216" w:lineRule="auto"/>
              <w:rPr>
                <w:rFonts w:eastAsia="Calibri"/>
                <w:sz w:val="22"/>
                <w:szCs w:val="22"/>
                <w:lang w:eastAsia="en-US"/>
              </w:rPr>
            </w:pPr>
            <w:r w:rsidRPr="00966AE1">
              <w:rPr>
                <w:rFonts w:eastAsia="Calibri"/>
                <w:i/>
                <w:sz w:val="22"/>
                <w:szCs w:val="22"/>
                <w:lang w:eastAsia="en-US"/>
              </w:rPr>
              <w:t>на 1000 населения</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13,2</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7,0</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7,3</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8,9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11,1</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12,5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sz w:val="22"/>
                <w:szCs w:val="22"/>
              </w:rPr>
            </w:pPr>
            <w:r w:rsidRPr="00966AE1">
              <w:rPr>
                <w:sz w:val="22"/>
                <w:szCs w:val="22"/>
              </w:rPr>
              <w:t>11,1</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10,05</w:t>
            </w:r>
          </w:p>
        </w:tc>
      </w:tr>
      <w:tr w:rsidR="00420ABB" w:rsidRPr="00966AE1" w:rsidTr="00BB1E99">
        <w:tc>
          <w:tcPr>
            <w:tcW w:w="2268" w:type="dxa"/>
            <w:tcBorders>
              <w:right w:val="single" w:sz="4" w:space="0" w:color="auto"/>
            </w:tcBorders>
          </w:tcPr>
          <w:p w:rsidR="00420ABB" w:rsidRPr="00966AE1" w:rsidRDefault="00420ABB" w:rsidP="00354F1F">
            <w:pPr>
              <w:spacing w:line="216" w:lineRule="auto"/>
              <w:rPr>
                <w:rFonts w:eastAsia="Calibri"/>
                <w:sz w:val="22"/>
                <w:szCs w:val="22"/>
                <w:lang w:eastAsia="en-US"/>
              </w:rPr>
            </w:pPr>
            <w:r w:rsidRPr="00966AE1">
              <w:rPr>
                <w:rFonts w:eastAsia="Calibri"/>
                <w:sz w:val="22"/>
                <w:szCs w:val="22"/>
                <w:lang w:eastAsia="en-US"/>
              </w:rPr>
              <w:t xml:space="preserve">Общий коэффициент смертности, </w:t>
            </w:r>
          </w:p>
          <w:p w:rsidR="00420ABB" w:rsidRPr="00966AE1" w:rsidRDefault="00420ABB" w:rsidP="00354F1F">
            <w:pPr>
              <w:spacing w:line="216" w:lineRule="auto"/>
              <w:rPr>
                <w:rFonts w:eastAsia="Calibri"/>
                <w:sz w:val="22"/>
                <w:szCs w:val="22"/>
                <w:lang w:eastAsia="en-US"/>
              </w:rPr>
            </w:pPr>
            <w:r w:rsidRPr="00966AE1">
              <w:rPr>
                <w:rFonts w:eastAsia="Calibri"/>
                <w:i/>
                <w:sz w:val="22"/>
                <w:szCs w:val="22"/>
                <w:lang w:eastAsia="en-US"/>
              </w:rPr>
              <w:t xml:space="preserve">число </w:t>
            </w:r>
            <w:proofErr w:type="gramStart"/>
            <w:r w:rsidRPr="00966AE1">
              <w:rPr>
                <w:rFonts w:eastAsia="Calibri"/>
                <w:i/>
                <w:sz w:val="22"/>
                <w:szCs w:val="22"/>
                <w:lang w:eastAsia="en-US"/>
              </w:rPr>
              <w:t>умерших</w:t>
            </w:r>
            <w:proofErr w:type="gramEnd"/>
            <w:r w:rsidRPr="00966AE1">
              <w:rPr>
                <w:rFonts w:eastAsia="Calibri"/>
                <w:i/>
                <w:sz w:val="22"/>
                <w:szCs w:val="22"/>
                <w:lang w:eastAsia="en-US"/>
              </w:rPr>
              <w:t xml:space="preserve"> </w:t>
            </w:r>
            <w:r w:rsidRPr="00966AE1">
              <w:rPr>
                <w:rFonts w:eastAsia="Calibri"/>
                <w:i/>
                <w:sz w:val="22"/>
                <w:szCs w:val="22"/>
                <w:lang w:eastAsia="en-US"/>
              </w:rPr>
              <w:br/>
              <w:t>на 1000 населения</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10,3</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10,9</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15,4</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16,7</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17,1</w:t>
            </w:r>
          </w:p>
        </w:tc>
        <w:tc>
          <w:tcPr>
            <w:tcW w:w="882" w:type="dxa"/>
            <w:tcBorders>
              <w:top w:val="single" w:sz="4" w:space="0" w:color="auto"/>
              <w:left w:val="single" w:sz="4" w:space="0" w:color="auto"/>
              <w:bottom w:val="single" w:sz="4" w:space="0" w:color="auto"/>
              <w:right w:val="single" w:sz="4" w:space="0" w:color="auto"/>
            </w:tcBorders>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16,0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14,4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sz w:val="22"/>
                <w:szCs w:val="22"/>
              </w:rPr>
            </w:pPr>
            <w:r w:rsidRPr="00966AE1">
              <w:rPr>
                <w:sz w:val="22"/>
                <w:szCs w:val="22"/>
              </w:rPr>
              <w:t>13,6</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420ABB" w:rsidRPr="00966AE1" w:rsidRDefault="00420ABB" w:rsidP="00354F1F">
            <w:pPr>
              <w:spacing w:line="216" w:lineRule="auto"/>
              <w:jc w:val="center"/>
              <w:rPr>
                <w:rFonts w:eastAsia="Calibri"/>
                <w:sz w:val="22"/>
                <w:szCs w:val="22"/>
                <w:lang w:eastAsia="en-US"/>
              </w:rPr>
            </w:pPr>
            <w:r w:rsidRPr="00966AE1">
              <w:rPr>
                <w:rFonts w:eastAsia="Calibri"/>
                <w:sz w:val="22"/>
                <w:szCs w:val="22"/>
                <w:lang w:eastAsia="en-US"/>
              </w:rPr>
              <w:t>13,2</w:t>
            </w:r>
          </w:p>
        </w:tc>
      </w:tr>
    </w:tbl>
    <w:p w:rsidR="00420ABB" w:rsidRPr="00354F1F" w:rsidRDefault="00420ABB" w:rsidP="00420ABB">
      <w:pPr>
        <w:spacing w:line="312" w:lineRule="auto"/>
        <w:jc w:val="both"/>
        <w:rPr>
          <w:color w:val="0070C0"/>
          <w:sz w:val="18"/>
          <w:szCs w:val="24"/>
        </w:rPr>
      </w:pPr>
    </w:p>
    <w:p w:rsidR="00420ABB" w:rsidRPr="00966AE1" w:rsidRDefault="00420ABB" w:rsidP="00420ABB">
      <w:pPr>
        <w:jc w:val="right"/>
        <w:rPr>
          <w:rFonts w:eastAsia="Calibri"/>
          <w:i/>
          <w:sz w:val="24"/>
          <w:szCs w:val="28"/>
          <w:lang w:eastAsia="en-US"/>
        </w:rPr>
      </w:pPr>
      <w:r w:rsidRPr="00966AE1">
        <w:rPr>
          <w:rFonts w:eastAsia="Calibri"/>
          <w:sz w:val="24"/>
          <w:szCs w:val="28"/>
          <w:lang w:eastAsia="en-US"/>
        </w:rPr>
        <w:t xml:space="preserve">  </w:t>
      </w:r>
      <w:r w:rsidRPr="00966AE1">
        <w:rPr>
          <w:rFonts w:eastAsia="Calibri"/>
          <w:i/>
          <w:sz w:val="24"/>
          <w:szCs w:val="28"/>
          <w:lang w:eastAsia="en-US"/>
        </w:rPr>
        <w:t xml:space="preserve">на 1 января, тыс. женщин  </w:t>
      </w:r>
    </w:p>
    <w:tbl>
      <w:tblPr>
        <w:tblStyle w:val="af1"/>
        <w:tblW w:w="0" w:type="auto"/>
        <w:tblInd w:w="108" w:type="dxa"/>
        <w:tblLook w:val="04A0" w:firstRow="1" w:lastRow="0" w:firstColumn="1" w:lastColumn="0" w:noHBand="0" w:noVBand="1"/>
      </w:tblPr>
      <w:tblGrid>
        <w:gridCol w:w="7230"/>
        <w:gridCol w:w="1984"/>
        <w:gridCol w:w="992"/>
      </w:tblGrid>
      <w:tr w:rsidR="00603BEA" w:rsidRPr="00966AE1" w:rsidTr="00F96718">
        <w:trPr>
          <w:trHeight w:val="317"/>
        </w:trPr>
        <w:tc>
          <w:tcPr>
            <w:tcW w:w="7230" w:type="dxa"/>
            <w:vMerge w:val="restart"/>
            <w:tcBorders>
              <w:top w:val="nil"/>
              <w:left w:val="nil"/>
              <w:right w:val="dotted" w:sz="4" w:space="0" w:color="auto"/>
            </w:tcBorders>
          </w:tcPr>
          <w:p w:rsidR="00603BEA" w:rsidRPr="00966AE1" w:rsidRDefault="00603BEA" w:rsidP="00F96718">
            <w:pPr>
              <w:spacing w:line="288" w:lineRule="auto"/>
              <w:ind w:firstLine="34"/>
              <w:jc w:val="both"/>
              <w:rPr>
                <w:rFonts w:eastAsia="Calibri"/>
                <w:sz w:val="24"/>
                <w:szCs w:val="28"/>
                <w:lang w:eastAsia="en-US"/>
              </w:rPr>
            </w:pPr>
            <w:r w:rsidRPr="00966AE1">
              <w:rPr>
                <w:rFonts w:eastAsia="Calibri"/>
                <w:sz w:val="24"/>
                <w:szCs w:val="28"/>
                <w:lang w:eastAsia="en-US"/>
              </w:rPr>
              <w:t xml:space="preserve">         Объективная причина снижения уровня рождаемости заключается в сокращении численности женщин репродуктивного возраста (15-49 лет), рождение которых совпало с периодом  «демографической ямы» 1990-</w:t>
            </w:r>
            <w:r w:rsidRPr="00966AE1">
              <w:rPr>
                <w:rFonts w:eastAsia="Calibri"/>
                <w:i/>
                <w:sz w:val="24"/>
                <w:szCs w:val="28"/>
                <w:lang w:eastAsia="en-US"/>
              </w:rPr>
              <w:t>ых</w:t>
            </w:r>
            <w:r w:rsidRPr="00966AE1">
              <w:rPr>
                <w:rFonts w:eastAsia="Calibri"/>
                <w:sz w:val="24"/>
                <w:szCs w:val="28"/>
                <w:lang w:eastAsia="en-US"/>
              </w:rPr>
              <w:t xml:space="preserve"> годов после «пиковой» </w:t>
            </w:r>
            <w:r w:rsidRPr="00966AE1">
              <w:rPr>
                <w:rFonts w:eastAsia="Calibri"/>
                <w:sz w:val="24"/>
                <w:szCs w:val="28"/>
                <w:lang w:eastAsia="en-US"/>
              </w:rPr>
              <w:br/>
              <w:t xml:space="preserve">рождаемости предшествующего десятилетия. </w:t>
            </w:r>
            <w:r w:rsidR="00F96718">
              <w:rPr>
                <w:rFonts w:eastAsia="Calibri"/>
                <w:sz w:val="24"/>
                <w:szCs w:val="28"/>
                <w:lang w:eastAsia="en-US"/>
              </w:rPr>
              <w:t xml:space="preserve">Сегодня это </w:t>
            </w:r>
            <w:r w:rsidRPr="00966AE1">
              <w:rPr>
                <w:rFonts w:eastAsia="Calibri"/>
                <w:sz w:val="24"/>
                <w:szCs w:val="28"/>
                <w:lang w:eastAsia="en-US"/>
              </w:rPr>
              <w:t>поколение</w:t>
            </w:r>
            <w:r w:rsidR="00F96718">
              <w:rPr>
                <w:rFonts w:eastAsia="Calibri"/>
                <w:sz w:val="24"/>
                <w:szCs w:val="28"/>
                <w:lang w:eastAsia="en-US"/>
              </w:rPr>
              <w:t xml:space="preserve">, вступая в детородный возраст и ежегодно </w:t>
            </w:r>
            <w:r w:rsidRPr="00966AE1">
              <w:rPr>
                <w:rFonts w:eastAsia="Calibri"/>
                <w:sz w:val="24"/>
                <w:szCs w:val="28"/>
                <w:lang w:eastAsia="en-US"/>
              </w:rPr>
              <w:t>заменя</w:t>
            </w:r>
            <w:r w:rsidR="00F96718">
              <w:rPr>
                <w:rFonts w:eastAsia="Calibri"/>
                <w:sz w:val="24"/>
                <w:szCs w:val="28"/>
                <w:lang w:eastAsia="en-US"/>
              </w:rPr>
              <w:t>я</w:t>
            </w:r>
            <w:r w:rsidRPr="00966AE1">
              <w:rPr>
                <w:rFonts w:eastAsia="Calibri"/>
                <w:sz w:val="24"/>
                <w:szCs w:val="28"/>
                <w:lang w:eastAsia="en-US"/>
              </w:rPr>
              <w:t xml:space="preserve"> более многочисленное поколение женщин</w:t>
            </w:r>
            <w:r w:rsidR="00F96718">
              <w:rPr>
                <w:rFonts w:eastAsia="Calibri"/>
                <w:sz w:val="24"/>
                <w:szCs w:val="28"/>
                <w:lang w:eastAsia="en-US"/>
              </w:rPr>
              <w:t xml:space="preserve"> (</w:t>
            </w:r>
            <w:r w:rsidRPr="00966AE1">
              <w:rPr>
                <w:rFonts w:eastAsia="Calibri"/>
                <w:sz w:val="24"/>
                <w:szCs w:val="28"/>
                <w:lang w:eastAsia="en-US"/>
              </w:rPr>
              <w:t>рожденных в 1980-</w:t>
            </w:r>
            <w:r w:rsidRPr="00966AE1">
              <w:rPr>
                <w:rFonts w:eastAsia="Calibri"/>
                <w:i/>
                <w:sz w:val="24"/>
                <w:szCs w:val="28"/>
                <w:lang w:eastAsia="en-US"/>
              </w:rPr>
              <w:t>ые</w:t>
            </w:r>
            <w:r w:rsidRPr="00966AE1">
              <w:rPr>
                <w:rFonts w:eastAsia="Calibri"/>
                <w:sz w:val="24"/>
                <w:szCs w:val="28"/>
                <w:lang w:eastAsia="en-US"/>
              </w:rPr>
              <w:t xml:space="preserve"> годы</w:t>
            </w:r>
            <w:r w:rsidR="00F96718">
              <w:rPr>
                <w:rFonts w:eastAsia="Calibri"/>
                <w:sz w:val="24"/>
                <w:szCs w:val="28"/>
                <w:lang w:eastAsia="en-US"/>
              </w:rPr>
              <w:t xml:space="preserve">), не может восполнить </w:t>
            </w:r>
            <w:r w:rsidRPr="00966AE1">
              <w:rPr>
                <w:rFonts w:eastAsia="Calibri"/>
                <w:sz w:val="24"/>
                <w:szCs w:val="28"/>
                <w:lang w:eastAsia="en-US"/>
              </w:rPr>
              <w:t>их численность и потери в деторождени</w:t>
            </w:r>
            <w:r w:rsidR="00A65849">
              <w:rPr>
                <w:rFonts w:eastAsia="Calibri"/>
                <w:sz w:val="24"/>
                <w:szCs w:val="28"/>
                <w:lang w:eastAsia="en-US"/>
              </w:rPr>
              <w:t>и</w:t>
            </w:r>
            <w:r w:rsidR="00A65849">
              <w:rPr>
                <w:rFonts w:eastAsia="Calibri"/>
                <w:sz w:val="24"/>
                <w:szCs w:val="28"/>
                <w:lang w:eastAsia="en-US"/>
              </w:rPr>
              <w:br/>
              <w:t>в полной мере</w:t>
            </w:r>
            <w:r w:rsidRPr="00966AE1">
              <w:rPr>
                <w:rFonts w:eastAsia="Calibri"/>
                <w:sz w:val="24"/>
                <w:szCs w:val="28"/>
                <w:lang w:eastAsia="en-US"/>
              </w:rPr>
              <w:t xml:space="preserve">. </w:t>
            </w:r>
          </w:p>
          <w:p w:rsidR="00603BEA" w:rsidRPr="00966AE1" w:rsidRDefault="00603BEA" w:rsidP="00F96718">
            <w:pPr>
              <w:spacing w:line="288" w:lineRule="auto"/>
              <w:ind w:firstLine="34"/>
              <w:jc w:val="both"/>
              <w:rPr>
                <w:rFonts w:eastAsia="Calibri"/>
                <w:sz w:val="24"/>
                <w:szCs w:val="28"/>
                <w:lang w:eastAsia="en-US"/>
              </w:rPr>
            </w:pPr>
            <w:r w:rsidRPr="00966AE1">
              <w:rPr>
                <w:rFonts w:eastAsia="Calibri"/>
                <w:sz w:val="24"/>
                <w:szCs w:val="28"/>
                <w:lang w:eastAsia="en-US"/>
              </w:rPr>
              <w:t xml:space="preserve">        Динамика численности женщин города Твери в возрасте </w:t>
            </w:r>
            <w:r w:rsidRPr="00966AE1">
              <w:rPr>
                <w:rFonts w:eastAsia="Calibri"/>
                <w:sz w:val="24"/>
                <w:szCs w:val="28"/>
                <w:lang w:eastAsia="en-US"/>
              </w:rPr>
              <w:br/>
              <w:t>15-49 лет приведена с оценкой показателей прогнозного периода:</w:t>
            </w: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2005</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118,0</w:t>
            </w:r>
          </w:p>
        </w:tc>
      </w:tr>
      <w:tr w:rsidR="00603BEA" w:rsidRPr="00966AE1" w:rsidTr="00F96718">
        <w:trPr>
          <w:trHeight w:val="317"/>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8B12B4">
            <w:pPr>
              <w:spacing w:line="216" w:lineRule="auto"/>
              <w:rPr>
                <w:rFonts w:eastAsia="Calibri"/>
                <w:sz w:val="22"/>
                <w:szCs w:val="28"/>
                <w:lang w:eastAsia="en-US"/>
              </w:rPr>
            </w:pPr>
            <w:r w:rsidRPr="00966AE1">
              <w:rPr>
                <w:rFonts w:eastAsia="Calibri"/>
                <w:b/>
                <w:sz w:val="22"/>
                <w:szCs w:val="28"/>
                <w:lang w:eastAsia="en-US"/>
              </w:rPr>
              <w:t xml:space="preserve">2010 </w:t>
            </w:r>
            <w:r w:rsidRPr="00966AE1">
              <w:rPr>
                <w:rFonts w:eastAsia="Calibri"/>
                <w:sz w:val="16"/>
                <w:szCs w:val="28"/>
                <w:lang w:eastAsia="en-US"/>
              </w:rPr>
              <w:t xml:space="preserve">на момент проведения ВПН-2010 </w:t>
            </w:r>
            <w:r w:rsidR="00F96718">
              <w:rPr>
                <w:rFonts w:eastAsia="Calibri"/>
                <w:sz w:val="16"/>
                <w:szCs w:val="28"/>
                <w:lang w:eastAsia="en-US"/>
              </w:rPr>
              <w:t xml:space="preserve">(на </w:t>
            </w:r>
            <w:r w:rsidRPr="00966AE1">
              <w:rPr>
                <w:rFonts w:eastAsia="Calibri"/>
                <w:sz w:val="16"/>
                <w:szCs w:val="28"/>
                <w:lang w:eastAsia="en-US"/>
              </w:rPr>
              <w:t>14.10.2010</w:t>
            </w:r>
            <w:r w:rsidR="008B12B4">
              <w:rPr>
                <w:rFonts w:eastAsia="Calibri"/>
                <w:sz w:val="16"/>
                <w:szCs w:val="28"/>
                <w:lang w:eastAsia="en-US"/>
              </w:rPr>
              <w:t>)</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108,1</w:t>
            </w:r>
          </w:p>
        </w:tc>
      </w:tr>
      <w:tr w:rsidR="00603BEA" w:rsidRPr="00966AE1" w:rsidTr="00F96718">
        <w:trPr>
          <w:trHeight w:val="317"/>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2015</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106,3</w:t>
            </w:r>
          </w:p>
        </w:tc>
      </w:tr>
      <w:tr w:rsidR="00603BEA" w:rsidRPr="00966AE1" w:rsidTr="00F96718">
        <w:trPr>
          <w:trHeight w:val="318"/>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2018</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105,7</w:t>
            </w:r>
          </w:p>
        </w:tc>
      </w:tr>
      <w:tr w:rsidR="00603BEA" w:rsidRPr="00966AE1" w:rsidTr="00F96718">
        <w:trPr>
          <w:trHeight w:val="317"/>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rPr>
                <w:rFonts w:eastAsia="Calibri"/>
                <w:b/>
                <w:sz w:val="22"/>
                <w:szCs w:val="28"/>
                <w:lang w:eastAsia="en-US"/>
              </w:rPr>
            </w:pPr>
            <w:r w:rsidRPr="00966AE1">
              <w:rPr>
                <w:rFonts w:eastAsia="Calibri"/>
                <w:b/>
                <w:sz w:val="22"/>
                <w:szCs w:val="28"/>
                <w:lang w:eastAsia="en-US"/>
              </w:rPr>
              <w:t xml:space="preserve">2019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104,8</w:t>
            </w:r>
          </w:p>
        </w:tc>
      </w:tr>
      <w:tr w:rsidR="00603BEA" w:rsidRPr="00966AE1" w:rsidTr="00F96718">
        <w:trPr>
          <w:trHeight w:val="317"/>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2020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104,0</w:t>
            </w:r>
          </w:p>
        </w:tc>
      </w:tr>
      <w:tr w:rsidR="00603BEA" w:rsidRPr="00966AE1" w:rsidTr="00F96718">
        <w:trPr>
          <w:trHeight w:val="317"/>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2021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102,8</w:t>
            </w:r>
          </w:p>
        </w:tc>
      </w:tr>
      <w:tr w:rsidR="00603BEA" w:rsidRPr="00966AE1" w:rsidTr="00F96718">
        <w:trPr>
          <w:trHeight w:val="318"/>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2022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101,5</w:t>
            </w:r>
          </w:p>
        </w:tc>
      </w:tr>
      <w:tr w:rsidR="00603BEA" w:rsidRPr="00966AE1" w:rsidTr="00F96718">
        <w:trPr>
          <w:trHeight w:val="318"/>
        </w:trPr>
        <w:tc>
          <w:tcPr>
            <w:tcW w:w="7230" w:type="dxa"/>
            <w:vMerge/>
            <w:tcBorders>
              <w:left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tcPr>
          <w:p w:rsidR="00603BEA" w:rsidRPr="00966AE1" w:rsidRDefault="00603BEA" w:rsidP="00BB1E99">
            <w:r w:rsidRPr="00966AE1">
              <w:rPr>
                <w:rFonts w:eastAsia="Calibri"/>
                <w:b/>
                <w:sz w:val="22"/>
                <w:szCs w:val="28"/>
                <w:lang w:eastAsia="en-US"/>
              </w:rPr>
              <w:t xml:space="preserve">2024 </w:t>
            </w:r>
            <w:r w:rsidRPr="00966AE1">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966AE1" w:rsidRDefault="00603BEA" w:rsidP="00BB1E99">
            <w:pPr>
              <w:spacing w:line="216" w:lineRule="auto"/>
              <w:jc w:val="center"/>
              <w:rPr>
                <w:rFonts w:eastAsia="Calibri"/>
                <w:sz w:val="24"/>
                <w:szCs w:val="28"/>
                <w:lang w:eastAsia="en-US"/>
              </w:rPr>
            </w:pPr>
            <w:r w:rsidRPr="00966AE1">
              <w:rPr>
                <w:rFonts w:eastAsia="Calibri"/>
                <w:sz w:val="24"/>
                <w:szCs w:val="28"/>
                <w:lang w:eastAsia="en-US"/>
              </w:rPr>
              <w:t>99,5</w:t>
            </w:r>
          </w:p>
        </w:tc>
      </w:tr>
      <w:tr w:rsidR="00603BEA" w:rsidRPr="00966AE1" w:rsidTr="00F96718">
        <w:trPr>
          <w:trHeight w:val="318"/>
        </w:trPr>
        <w:tc>
          <w:tcPr>
            <w:tcW w:w="7230" w:type="dxa"/>
            <w:vMerge/>
            <w:tcBorders>
              <w:left w:val="nil"/>
              <w:bottom w:val="nil"/>
              <w:right w:val="dotted" w:sz="4" w:space="0" w:color="auto"/>
            </w:tcBorders>
          </w:tcPr>
          <w:p w:rsidR="00603BEA" w:rsidRPr="00966AE1" w:rsidRDefault="00603BEA" w:rsidP="00603BEA">
            <w:pPr>
              <w:spacing w:line="276" w:lineRule="auto"/>
              <w:rPr>
                <w:rFonts w:eastAsia="Calibri"/>
                <w:sz w:val="24"/>
                <w:szCs w:val="28"/>
                <w:lang w:eastAsia="en-US"/>
              </w:rPr>
            </w:pPr>
          </w:p>
        </w:tc>
        <w:tc>
          <w:tcPr>
            <w:tcW w:w="1984" w:type="dxa"/>
            <w:tcBorders>
              <w:top w:val="dotted" w:sz="4" w:space="0" w:color="auto"/>
              <w:left w:val="dotted" w:sz="4" w:space="0" w:color="auto"/>
              <w:bottom w:val="dotted" w:sz="4" w:space="0" w:color="auto"/>
              <w:right w:val="dotted" w:sz="4" w:space="0" w:color="auto"/>
            </w:tcBorders>
            <w:vAlign w:val="center"/>
          </w:tcPr>
          <w:p w:rsidR="00603BEA" w:rsidRPr="003C3237" w:rsidRDefault="00603BEA" w:rsidP="00603BEA">
            <w:pPr>
              <w:rPr>
                <w:rFonts w:eastAsia="Calibri"/>
                <w:b/>
                <w:sz w:val="22"/>
                <w:szCs w:val="28"/>
                <w:lang w:eastAsia="en-US"/>
              </w:rPr>
            </w:pPr>
            <w:r w:rsidRPr="003C3237">
              <w:rPr>
                <w:rFonts w:eastAsia="Calibri"/>
                <w:b/>
                <w:sz w:val="22"/>
                <w:szCs w:val="28"/>
                <w:lang w:eastAsia="en-US"/>
              </w:rPr>
              <w:t xml:space="preserve">2025 </w:t>
            </w:r>
            <w:r w:rsidRPr="003C3237">
              <w:rPr>
                <w:rFonts w:eastAsia="Calibri"/>
                <w:sz w:val="16"/>
                <w:szCs w:val="28"/>
                <w:lang w:eastAsia="en-US"/>
              </w:rPr>
              <w:t>прогноз</w:t>
            </w:r>
          </w:p>
        </w:tc>
        <w:tc>
          <w:tcPr>
            <w:tcW w:w="992" w:type="dxa"/>
            <w:tcBorders>
              <w:top w:val="dotted" w:sz="4" w:space="0" w:color="auto"/>
              <w:left w:val="dotted" w:sz="4" w:space="0" w:color="auto"/>
              <w:bottom w:val="dotted" w:sz="4" w:space="0" w:color="auto"/>
              <w:right w:val="dotted" w:sz="4" w:space="0" w:color="auto"/>
            </w:tcBorders>
            <w:vAlign w:val="center"/>
          </w:tcPr>
          <w:p w:rsidR="00603BEA" w:rsidRPr="003C3237" w:rsidRDefault="003C3237" w:rsidP="00603BEA">
            <w:pPr>
              <w:spacing w:line="216" w:lineRule="auto"/>
              <w:jc w:val="center"/>
              <w:rPr>
                <w:rFonts w:eastAsia="Calibri"/>
                <w:sz w:val="24"/>
                <w:szCs w:val="28"/>
                <w:lang w:eastAsia="en-US"/>
              </w:rPr>
            </w:pPr>
            <w:r w:rsidRPr="003C3237">
              <w:rPr>
                <w:rFonts w:eastAsia="Calibri"/>
                <w:sz w:val="24"/>
                <w:szCs w:val="28"/>
                <w:lang w:eastAsia="en-US"/>
              </w:rPr>
              <w:t>98,7</w:t>
            </w:r>
          </w:p>
        </w:tc>
      </w:tr>
    </w:tbl>
    <w:p w:rsidR="00420ABB" w:rsidRPr="00966AE1" w:rsidRDefault="00420ABB" w:rsidP="00420ABB">
      <w:pPr>
        <w:spacing w:line="288" w:lineRule="auto"/>
        <w:jc w:val="both"/>
        <w:rPr>
          <w:rFonts w:eastAsia="Calibri"/>
          <w:sz w:val="14"/>
          <w:szCs w:val="28"/>
          <w:lang w:eastAsia="en-US"/>
        </w:rPr>
      </w:pPr>
      <w:r w:rsidRPr="00966AE1">
        <w:rPr>
          <w:rFonts w:eastAsia="Calibri"/>
          <w:sz w:val="24"/>
          <w:szCs w:val="28"/>
          <w:lang w:eastAsia="en-US"/>
        </w:rPr>
        <w:tab/>
      </w:r>
    </w:p>
    <w:p w:rsidR="00420ABB" w:rsidRPr="00966AE1" w:rsidRDefault="00420ABB" w:rsidP="00420ABB">
      <w:pPr>
        <w:spacing w:line="288" w:lineRule="auto"/>
        <w:ind w:firstLine="709"/>
        <w:jc w:val="both"/>
        <w:rPr>
          <w:rFonts w:eastAsia="Calibri"/>
          <w:sz w:val="24"/>
          <w:szCs w:val="28"/>
          <w:lang w:eastAsia="en-US"/>
        </w:rPr>
      </w:pPr>
      <w:r w:rsidRPr="00966AE1">
        <w:rPr>
          <w:rFonts w:eastAsia="Calibri"/>
          <w:sz w:val="24"/>
          <w:szCs w:val="28"/>
          <w:lang w:eastAsia="en-US"/>
        </w:rPr>
        <w:t xml:space="preserve">Для реализации регионального проекта в области демографии по стимулированию рождаемости и повышению численности населения города Твери в условиях продолжающегося снижения численности женщин (15-49 лет), необходимо сохранять соотношение ежегодного увеличения количества рожденных детей на 100 женщин указанной возрастной группы. Если в 2018 году на 100 женщин репродуктивного возраста родилось 4 ребенка, то </w:t>
      </w:r>
      <w:r w:rsidR="00AF2FD8">
        <w:rPr>
          <w:rFonts w:eastAsia="Calibri"/>
          <w:sz w:val="24"/>
          <w:szCs w:val="28"/>
          <w:lang w:eastAsia="en-US"/>
        </w:rPr>
        <w:t xml:space="preserve">в </w:t>
      </w:r>
      <w:r w:rsidRPr="00966AE1">
        <w:rPr>
          <w:rFonts w:eastAsia="Calibri"/>
          <w:sz w:val="24"/>
          <w:szCs w:val="28"/>
          <w:lang w:eastAsia="en-US"/>
        </w:rPr>
        <w:t>202</w:t>
      </w:r>
      <w:r w:rsidR="007A33A7">
        <w:rPr>
          <w:rFonts w:eastAsia="Calibri"/>
          <w:sz w:val="24"/>
          <w:szCs w:val="28"/>
          <w:lang w:eastAsia="en-US"/>
        </w:rPr>
        <w:t>5 год</w:t>
      </w:r>
      <w:r w:rsidR="00AF2FD8">
        <w:rPr>
          <w:rFonts w:eastAsia="Calibri"/>
          <w:sz w:val="24"/>
          <w:szCs w:val="28"/>
          <w:lang w:eastAsia="en-US"/>
        </w:rPr>
        <w:t>у соотношение должно составлять 5 и более детей</w:t>
      </w:r>
      <w:r w:rsidRPr="00966AE1">
        <w:rPr>
          <w:rFonts w:eastAsia="Calibri"/>
          <w:sz w:val="24"/>
          <w:szCs w:val="28"/>
          <w:lang w:eastAsia="en-US"/>
        </w:rPr>
        <w:t>,</w:t>
      </w:r>
      <w:r w:rsidR="00AF2FD8">
        <w:rPr>
          <w:rFonts w:eastAsia="Calibri"/>
          <w:sz w:val="24"/>
          <w:szCs w:val="28"/>
          <w:lang w:eastAsia="en-US"/>
        </w:rPr>
        <w:t xml:space="preserve"> </w:t>
      </w:r>
      <w:r w:rsidRPr="00966AE1">
        <w:rPr>
          <w:rFonts w:eastAsia="Calibri"/>
          <w:sz w:val="24"/>
          <w:szCs w:val="28"/>
          <w:lang w:eastAsia="en-US"/>
        </w:rPr>
        <w:t>в 2035 год</w:t>
      </w:r>
      <w:r w:rsidR="00AF2FD8">
        <w:rPr>
          <w:rFonts w:eastAsia="Calibri"/>
          <w:sz w:val="24"/>
          <w:szCs w:val="28"/>
          <w:lang w:eastAsia="en-US"/>
        </w:rPr>
        <w:t>у – свыше 7 новорожденных.</w:t>
      </w:r>
      <w:r w:rsidRPr="00966AE1">
        <w:rPr>
          <w:rFonts w:eastAsia="Calibri"/>
          <w:sz w:val="24"/>
          <w:szCs w:val="28"/>
          <w:lang w:eastAsia="en-US"/>
        </w:rPr>
        <w:t xml:space="preserve"> </w:t>
      </w:r>
    </w:p>
    <w:p w:rsidR="00420ABB" w:rsidRPr="00966AE1" w:rsidRDefault="00420ABB" w:rsidP="00420ABB">
      <w:pPr>
        <w:spacing w:line="288" w:lineRule="auto"/>
        <w:ind w:firstLine="709"/>
        <w:jc w:val="both"/>
        <w:rPr>
          <w:sz w:val="24"/>
          <w:szCs w:val="24"/>
        </w:rPr>
      </w:pPr>
      <w:r w:rsidRPr="00966AE1">
        <w:rPr>
          <w:sz w:val="24"/>
          <w:szCs w:val="24"/>
        </w:rPr>
        <w:t xml:space="preserve">Учитывая </w:t>
      </w:r>
      <w:r w:rsidR="00360F62" w:rsidRPr="00966AE1">
        <w:rPr>
          <w:sz w:val="24"/>
          <w:szCs w:val="24"/>
        </w:rPr>
        <w:t>объективные причины</w:t>
      </w:r>
      <w:r w:rsidR="00360F62">
        <w:rPr>
          <w:sz w:val="24"/>
          <w:szCs w:val="24"/>
        </w:rPr>
        <w:t xml:space="preserve"> возникновения </w:t>
      </w:r>
      <w:r w:rsidRPr="00966AE1">
        <w:rPr>
          <w:sz w:val="24"/>
          <w:szCs w:val="24"/>
        </w:rPr>
        <w:t>демографически</w:t>
      </w:r>
      <w:r w:rsidR="00360F62">
        <w:rPr>
          <w:sz w:val="24"/>
          <w:szCs w:val="24"/>
        </w:rPr>
        <w:t>х</w:t>
      </w:r>
      <w:r w:rsidRPr="00966AE1">
        <w:rPr>
          <w:sz w:val="24"/>
          <w:szCs w:val="24"/>
        </w:rPr>
        <w:t xml:space="preserve"> сдвиг</w:t>
      </w:r>
      <w:r w:rsidR="00360F62">
        <w:rPr>
          <w:sz w:val="24"/>
          <w:szCs w:val="24"/>
        </w:rPr>
        <w:t>ов</w:t>
      </w:r>
      <w:r w:rsidR="002C0B51">
        <w:rPr>
          <w:sz w:val="24"/>
          <w:szCs w:val="24"/>
        </w:rPr>
        <w:t xml:space="preserve"> в городе Твери</w:t>
      </w:r>
      <w:r w:rsidRPr="00966AE1">
        <w:rPr>
          <w:sz w:val="24"/>
          <w:szCs w:val="24"/>
        </w:rPr>
        <w:t>:</w:t>
      </w:r>
    </w:p>
    <w:p w:rsidR="00420ABB" w:rsidRPr="00966AE1" w:rsidRDefault="00360F62" w:rsidP="00420ABB">
      <w:pPr>
        <w:widowControl w:val="0"/>
        <w:numPr>
          <w:ilvl w:val="0"/>
          <w:numId w:val="28"/>
        </w:numPr>
        <w:spacing w:line="288" w:lineRule="auto"/>
        <w:ind w:left="0" w:firstLine="709"/>
        <w:contextualSpacing/>
        <w:jc w:val="both"/>
        <w:rPr>
          <w:rFonts w:eastAsia="Calibri"/>
          <w:sz w:val="24"/>
          <w:szCs w:val="24"/>
          <w:lang w:eastAsia="en-US"/>
        </w:rPr>
      </w:pPr>
      <w:r>
        <w:rPr>
          <w:rFonts w:eastAsia="Calibri"/>
          <w:sz w:val="24"/>
          <w:szCs w:val="24"/>
          <w:lang w:eastAsia="en-US"/>
        </w:rPr>
        <w:t xml:space="preserve">прогнозируемая </w:t>
      </w:r>
      <w:r w:rsidR="00420ABB" w:rsidRPr="00966AE1">
        <w:rPr>
          <w:rFonts w:eastAsia="Calibri"/>
          <w:sz w:val="24"/>
          <w:szCs w:val="24"/>
          <w:lang w:eastAsia="en-US"/>
        </w:rPr>
        <w:t>численность новорожденных</w:t>
      </w:r>
      <w:r w:rsidR="00877DDF">
        <w:rPr>
          <w:rFonts w:eastAsia="Calibri"/>
          <w:sz w:val="24"/>
          <w:szCs w:val="24"/>
          <w:lang w:eastAsia="en-US"/>
        </w:rPr>
        <w:t xml:space="preserve"> в 2019 году</w:t>
      </w:r>
      <w:r w:rsidR="00420ABB" w:rsidRPr="00966AE1">
        <w:rPr>
          <w:rFonts w:eastAsia="Calibri"/>
          <w:sz w:val="24"/>
          <w:szCs w:val="24"/>
          <w:lang w:eastAsia="en-US"/>
        </w:rPr>
        <w:t xml:space="preserve"> составит 4,5 тыс. </w:t>
      </w:r>
      <w:r>
        <w:rPr>
          <w:rFonts w:eastAsia="Calibri"/>
          <w:sz w:val="24"/>
          <w:szCs w:val="24"/>
          <w:lang w:eastAsia="en-US"/>
        </w:rPr>
        <w:t xml:space="preserve">детей, </w:t>
      </w:r>
      <w:r>
        <w:rPr>
          <w:rFonts w:eastAsia="Calibri"/>
          <w:sz w:val="24"/>
          <w:szCs w:val="24"/>
          <w:lang w:eastAsia="en-US"/>
        </w:rPr>
        <w:br/>
      </w:r>
      <w:r w:rsidR="00420ABB" w:rsidRPr="00966AE1">
        <w:rPr>
          <w:rFonts w:eastAsia="Calibri"/>
          <w:sz w:val="24"/>
          <w:szCs w:val="24"/>
          <w:lang w:eastAsia="en-US"/>
        </w:rPr>
        <w:t>в</w:t>
      </w:r>
      <w:r>
        <w:rPr>
          <w:rFonts w:eastAsia="Calibri"/>
          <w:sz w:val="24"/>
          <w:szCs w:val="24"/>
          <w:lang w:eastAsia="en-US"/>
        </w:rPr>
        <w:t xml:space="preserve"> </w:t>
      </w:r>
      <w:r w:rsidR="00420ABB" w:rsidRPr="00966AE1">
        <w:rPr>
          <w:rFonts w:eastAsia="Calibri"/>
          <w:sz w:val="24"/>
          <w:szCs w:val="24"/>
          <w:lang w:eastAsia="en-US"/>
        </w:rPr>
        <w:t>2022 год</w:t>
      </w:r>
      <w:r>
        <w:rPr>
          <w:rFonts w:eastAsia="Calibri"/>
          <w:sz w:val="24"/>
          <w:szCs w:val="24"/>
          <w:lang w:eastAsia="en-US"/>
        </w:rPr>
        <w:t>у</w:t>
      </w:r>
      <w:r w:rsidR="00420ABB" w:rsidRPr="00966AE1">
        <w:rPr>
          <w:rFonts w:eastAsia="Calibri"/>
          <w:sz w:val="24"/>
          <w:szCs w:val="24"/>
          <w:lang w:eastAsia="en-US"/>
        </w:rPr>
        <w:t xml:space="preserve"> – 4,8 тыс. детей</w:t>
      </w:r>
      <w:r>
        <w:rPr>
          <w:rFonts w:eastAsia="Calibri"/>
          <w:sz w:val="24"/>
          <w:szCs w:val="24"/>
          <w:lang w:eastAsia="en-US"/>
        </w:rPr>
        <w:t>, в 2025 – 5,1 тыс. детей</w:t>
      </w:r>
      <w:r w:rsidR="00420ABB" w:rsidRPr="00966AE1">
        <w:rPr>
          <w:rFonts w:eastAsia="Calibri"/>
          <w:sz w:val="24"/>
          <w:szCs w:val="24"/>
          <w:lang w:eastAsia="en-US"/>
        </w:rPr>
        <w:t>;</w:t>
      </w:r>
    </w:p>
    <w:p w:rsidR="00420ABB" w:rsidRPr="00966AE1" w:rsidRDefault="00420ABB" w:rsidP="00420ABB">
      <w:pPr>
        <w:numPr>
          <w:ilvl w:val="0"/>
          <w:numId w:val="43"/>
        </w:numPr>
        <w:spacing w:line="288" w:lineRule="auto"/>
        <w:ind w:left="0" w:firstLine="709"/>
        <w:contextualSpacing/>
        <w:jc w:val="both"/>
        <w:rPr>
          <w:rFonts w:eastAsia="Calibri"/>
          <w:sz w:val="24"/>
          <w:szCs w:val="24"/>
          <w:lang w:eastAsia="en-US"/>
        </w:rPr>
      </w:pPr>
      <w:r w:rsidRPr="00966AE1">
        <w:rPr>
          <w:rFonts w:eastAsia="Calibri"/>
          <w:sz w:val="24"/>
          <w:szCs w:val="24"/>
          <w:lang w:eastAsia="en-US"/>
        </w:rPr>
        <w:t>смертность населения в 2019 году понизится до 5,5</w:t>
      </w:r>
      <w:r w:rsidR="00360F62">
        <w:rPr>
          <w:rFonts w:eastAsia="Calibri"/>
          <w:sz w:val="24"/>
          <w:szCs w:val="24"/>
          <w:lang w:eastAsia="en-US"/>
        </w:rPr>
        <w:t>2</w:t>
      </w:r>
      <w:r w:rsidRPr="00966AE1">
        <w:rPr>
          <w:rFonts w:eastAsia="Calibri"/>
          <w:sz w:val="24"/>
          <w:szCs w:val="24"/>
          <w:lang w:eastAsia="en-US"/>
        </w:rPr>
        <w:t xml:space="preserve"> тыс. человек, в</w:t>
      </w:r>
      <w:r w:rsidR="007F1A50">
        <w:rPr>
          <w:rFonts w:eastAsia="Calibri"/>
          <w:sz w:val="24"/>
          <w:szCs w:val="24"/>
          <w:lang w:eastAsia="en-US"/>
        </w:rPr>
        <w:t xml:space="preserve"> </w:t>
      </w:r>
      <w:r w:rsidR="00360F62">
        <w:rPr>
          <w:rFonts w:eastAsia="Calibri"/>
          <w:sz w:val="24"/>
          <w:szCs w:val="24"/>
          <w:lang w:eastAsia="en-US"/>
        </w:rPr>
        <w:t>2025 год</w:t>
      </w:r>
      <w:r w:rsidR="007F1A50">
        <w:rPr>
          <w:rFonts w:eastAsia="Calibri"/>
          <w:sz w:val="24"/>
          <w:szCs w:val="24"/>
          <w:lang w:eastAsia="en-US"/>
        </w:rPr>
        <w:t>у</w:t>
      </w:r>
      <w:r w:rsidR="00360F62">
        <w:rPr>
          <w:rFonts w:eastAsia="Calibri"/>
          <w:sz w:val="24"/>
          <w:szCs w:val="24"/>
          <w:lang w:eastAsia="en-US"/>
        </w:rPr>
        <w:t xml:space="preserve"> </w:t>
      </w:r>
      <w:r w:rsidR="007F1A50">
        <w:rPr>
          <w:rFonts w:eastAsia="Calibri"/>
          <w:sz w:val="24"/>
          <w:szCs w:val="24"/>
          <w:lang w:eastAsia="en-US"/>
        </w:rPr>
        <w:br/>
      </w:r>
      <w:r w:rsidR="000F32F7">
        <w:rPr>
          <w:rFonts w:eastAsia="Calibri"/>
          <w:sz w:val="24"/>
          <w:szCs w:val="24"/>
          <w:lang w:eastAsia="en-US"/>
        </w:rPr>
        <w:t>(</w:t>
      </w:r>
      <w:r w:rsidR="007F1A50">
        <w:rPr>
          <w:rFonts w:eastAsia="Calibri"/>
          <w:sz w:val="24"/>
          <w:szCs w:val="24"/>
          <w:lang w:eastAsia="en-US"/>
        </w:rPr>
        <w:t xml:space="preserve">учитывая </w:t>
      </w:r>
      <w:r w:rsidR="00360F62">
        <w:rPr>
          <w:rFonts w:eastAsia="Calibri"/>
          <w:sz w:val="24"/>
          <w:szCs w:val="24"/>
          <w:lang w:eastAsia="en-US"/>
        </w:rPr>
        <w:t>рост численности</w:t>
      </w:r>
      <w:r w:rsidR="000F32F7">
        <w:rPr>
          <w:rFonts w:eastAsia="Calibri"/>
          <w:sz w:val="24"/>
          <w:szCs w:val="24"/>
          <w:lang w:eastAsia="en-US"/>
        </w:rPr>
        <w:t xml:space="preserve"> лиц</w:t>
      </w:r>
      <w:r w:rsidRPr="00966AE1">
        <w:rPr>
          <w:rFonts w:eastAsia="Calibri"/>
          <w:sz w:val="24"/>
          <w:szCs w:val="24"/>
          <w:lang w:eastAsia="en-US"/>
        </w:rPr>
        <w:t xml:space="preserve"> пожилого возраста)</w:t>
      </w:r>
      <w:r w:rsidR="000F32F7">
        <w:rPr>
          <w:rFonts w:eastAsia="Calibri"/>
          <w:sz w:val="24"/>
          <w:szCs w:val="24"/>
          <w:lang w:eastAsia="en-US"/>
        </w:rPr>
        <w:t xml:space="preserve"> </w:t>
      </w:r>
      <w:r w:rsidRPr="00966AE1">
        <w:rPr>
          <w:rFonts w:eastAsia="Calibri"/>
          <w:sz w:val="24"/>
          <w:szCs w:val="24"/>
          <w:lang w:eastAsia="en-US"/>
        </w:rPr>
        <w:t>– до 5,</w:t>
      </w:r>
      <w:r w:rsidR="00360F62">
        <w:rPr>
          <w:rFonts w:eastAsia="Calibri"/>
          <w:sz w:val="24"/>
          <w:szCs w:val="24"/>
          <w:lang w:eastAsia="en-US"/>
        </w:rPr>
        <w:t xml:space="preserve">36 </w:t>
      </w:r>
      <w:r w:rsidRPr="00966AE1">
        <w:rPr>
          <w:rFonts w:eastAsia="Calibri"/>
          <w:sz w:val="24"/>
          <w:szCs w:val="24"/>
          <w:lang w:eastAsia="en-US"/>
        </w:rPr>
        <w:t>тыс. человек;</w:t>
      </w:r>
    </w:p>
    <w:p w:rsidR="00420ABB" w:rsidRPr="00966AE1" w:rsidRDefault="00420ABB" w:rsidP="00420ABB">
      <w:pPr>
        <w:widowControl w:val="0"/>
        <w:numPr>
          <w:ilvl w:val="0"/>
          <w:numId w:val="28"/>
        </w:numPr>
        <w:spacing w:line="288" w:lineRule="auto"/>
        <w:ind w:left="0" w:firstLine="709"/>
        <w:contextualSpacing/>
        <w:jc w:val="both"/>
        <w:rPr>
          <w:rFonts w:eastAsia="Calibri"/>
          <w:sz w:val="24"/>
          <w:szCs w:val="24"/>
          <w:lang w:eastAsia="en-US"/>
        </w:rPr>
      </w:pPr>
      <w:r w:rsidRPr="00966AE1">
        <w:rPr>
          <w:rFonts w:eastAsia="Calibri"/>
          <w:sz w:val="24"/>
          <w:szCs w:val="24"/>
          <w:lang w:eastAsia="en-US"/>
        </w:rPr>
        <w:t xml:space="preserve">ожидаемая продолжительность жизни городского населения Тверской области </w:t>
      </w:r>
      <w:r w:rsidR="002C0B51">
        <w:rPr>
          <w:rFonts w:eastAsia="Calibri"/>
          <w:sz w:val="24"/>
          <w:szCs w:val="24"/>
          <w:lang w:eastAsia="en-US"/>
        </w:rPr>
        <w:br/>
      </w:r>
      <w:r w:rsidRPr="00966AE1">
        <w:rPr>
          <w:rFonts w:eastAsia="Calibri"/>
          <w:i/>
          <w:sz w:val="24"/>
          <w:szCs w:val="24"/>
          <w:lang w:eastAsia="en-US"/>
        </w:rPr>
        <w:t>(оба пола)</w:t>
      </w:r>
      <w:r w:rsidRPr="00966AE1">
        <w:rPr>
          <w:rFonts w:eastAsia="Calibri"/>
          <w:sz w:val="24"/>
          <w:szCs w:val="24"/>
          <w:lang w:eastAsia="en-US"/>
        </w:rPr>
        <w:t xml:space="preserve"> в 2019 году составит 71,37 лет. В </w:t>
      </w:r>
      <w:r w:rsidR="00360F62">
        <w:rPr>
          <w:rFonts w:eastAsia="Calibri"/>
          <w:sz w:val="24"/>
          <w:szCs w:val="24"/>
          <w:lang w:eastAsia="en-US"/>
        </w:rPr>
        <w:t>2025 году</w:t>
      </w:r>
      <w:r w:rsidR="002C0B51">
        <w:rPr>
          <w:rFonts w:eastAsia="Calibri"/>
          <w:sz w:val="24"/>
          <w:szCs w:val="24"/>
          <w:lang w:eastAsia="en-US"/>
        </w:rPr>
        <w:t xml:space="preserve"> она повысится на 2,56 года до </w:t>
      </w:r>
      <w:r w:rsidR="00360F62">
        <w:rPr>
          <w:rFonts w:eastAsia="Calibri"/>
          <w:sz w:val="24"/>
          <w:szCs w:val="24"/>
          <w:lang w:eastAsia="en-US"/>
        </w:rPr>
        <w:t>73,93 лет</w:t>
      </w:r>
      <w:r w:rsidRPr="00966AE1">
        <w:rPr>
          <w:rFonts w:eastAsia="Calibri"/>
          <w:sz w:val="24"/>
          <w:szCs w:val="24"/>
          <w:lang w:eastAsia="en-US"/>
        </w:rPr>
        <w:t>;</w:t>
      </w:r>
    </w:p>
    <w:p w:rsidR="00420ABB" w:rsidRPr="00966AE1" w:rsidRDefault="00420ABB" w:rsidP="00420ABB">
      <w:pPr>
        <w:widowControl w:val="0"/>
        <w:numPr>
          <w:ilvl w:val="0"/>
          <w:numId w:val="28"/>
        </w:numPr>
        <w:spacing w:line="288" w:lineRule="auto"/>
        <w:ind w:left="0" w:firstLine="709"/>
        <w:contextualSpacing/>
        <w:jc w:val="both"/>
        <w:rPr>
          <w:rFonts w:eastAsia="Calibri"/>
          <w:sz w:val="24"/>
          <w:szCs w:val="24"/>
          <w:lang w:eastAsia="en-US"/>
        </w:rPr>
      </w:pPr>
      <w:r w:rsidRPr="00966AE1">
        <w:rPr>
          <w:rFonts w:eastAsia="Calibri"/>
          <w:noProof/>
          <w:sz w:val="24"/>
          <w:szCs w:val="24"/>
          <w:lang w:eastAsia="en-US"/>
        </w:rPr>
        <w:t xml:space="preserve">среднегодовая численность населения </w:t>
      </w:r>
      <w:r w:rsidR="000F32F7">
        <w:rPr>
          <w:rFonts w:eastAsia="Calibri"/>
          <w:noProof/>
          <w:sz w:val="24"/>
          <w:szCs w:val="24"/>
          <w:lang w:eastAsia="en-US"/>
        </w:rPr>
        <w:t>при благоприятных условиях развития демографической</w:t>
      </w:r>
      <w:r w:rsidR="002C0B51">
        <w:rPr>
          <w:rFonts w:eastAsia="Calibri"/>
          <w:noProof/>
          <w:sz w:val="24"/>
          <w:szCs w:val="24"/>
          <w:lang w:eastAsia="en-US"/>
        </w:rPr>
        <w:t xml:space="preserve"> ситуации в 2025 году составит 432,7 </w:t>
      </w:r>
      <w:r w:rsidRPr="00966AE1">
        <w:rPr>
          <w:rFonts w:eastAsia="Calibri"/>
          <w:noProof/>
          <w:sz w:val="24"/>
          <w:szCs w:val="24"/>
          <w:lang w:eastAsia="en-US"/>
        </w:rPr>
        <w:t>тыс. человек</w:t>
      </w:r>
      <w:r w:rsidR="002C0B51">
        <w:rPr>
          <w:rFonts w:eastAsia="Calibri"/>
          <w:noProof/>
          <w:sz w:val="24"/>
          <w:szCs w:val="24"/>
          <w:lang w:eastAsia="en-US"/>
        </w:rPr>
        <w:t>, обеспечив прирост численности к 2019 году на 11,2 тыс. жителей</w:t>
      </w:r>
      <w:r w:rsidRPr="00966AE1">
        <w:rPr>
          <w:rFonts w:eastAsia="Calibri"/>
          <w:noProof/>
          <w:sz w:val="24"/>
          <w:szCs w:val="24"/>
          <w:lang w:eastAsia="en-US"/>
        </w:rPr>
        <w:t>.</w:t>
      </w:r>
    </w:p>
    <w:p w:rsidR="00420ABB" w:rsidRDefault="00420ABB" w:rsidP="00420ABB">
      <w:pPr>
        <w:widowControl w:val="0"/>
        <w:spacing w:line="288" w:lineRule="auto"/>
        <w:ind w:firstLine="708"/>
        <w:contextualSpacing/>
        <w:jc w:val="both"/>
        <w:rPr>
          <w:rFonts w:eastAsia="Calibri"/>
          <w:noProof/>
          <w:sz w:val="24"/>
          <w:szCs w:val="24"/>
          <w:lang w:eastAsia="en-US"/>
        </w:rPr>
      </w:pPr>
      <w:r w:rsidRPr="00966AE1">
        <w:rPr>
          <w:rFonts w:eastAsia="Calibri"/>
          <w:noProof/>
          <w:sz w:val="24"/>
          <w:szCs w:val="24"/>
          <w:lang w:eastAsia="en-US"/>
        </w:rPr>
        <w:t>В 2020-202</w:t>
      </w:r>
      <w:r w:rsidR="00A85077">
        <w:rPr>
          <w:rFonts w:eastAsia="Calibri"/>
          <w:noProof/>
          <w:sz w:val="24"/>
          <w:szCs w:val="24"/>
          <w:lang w:eastAsia="en-US"/>
        </w:rPr>
        <w:t>5</w:t>
      </w:r>
      <w:r w:rsidRPr="00966AE1">
        <w:rPr>
          <w:rFonts w:eastAsia="Calibri"/>
          <w:noProof/>
          <w:sz w:val="24"/>
          <w:szCs w:val="24"/>
          <w:lang w:eastAsia="en-US"/>
        </w:rPr>
        <w:t xml:space="preserve"> годах сохранится положительное сальдо миграции. Прогнозир</w:t>
      </w:r>
      <w:r>
        <w:rPr>
          <w:rFonts w:eastAsia="Calibri"/>
          <w:noProof/>
          <w:sz w:val="24"/>
          <w:szCs w:val="24"/>
          <w:lang w:eastAsia="en-US"/>
        </w:rPr>
        <w:t>у</w:t>
      </w:r>
      <w:r w:rsidRPr="00966AE1">
        <w:rPr>
          <w:rFonts w:eastAsia="Calibri"/>
          <w:noProof/>
          <w:sz w:val="24"/>
          <w:szCs w:val="24"/>
          <w:lang w:eastAsia="en-US"/>
        </w:rPr>
        <w:t>емый</w:t>
      </w:r>
      <w:r>
        <w:rPr>
          <w:rFonts w:eastAsia="Calibri"/>
          <w:noProof/>
          <w:sz w:val="24"/>
          <w:szCs w:val="24"/>
          <w:lang w:eastAsia="en-US"/>
        </w:rPr>
        <w:t xml:space="preserve"> прирост мигрантов в эти годы составит </w:t>
      </w:r>
      <w:r w:rsidRPr="00966AE1">
        <w:rPr>
          <w:rFonts w:eastAsia="Calibri"/>
          <w:noProof/>
          <w:sz w:val="24"/>
          <w:szCs w:val="24"/>
          <w:lang w:eastAsia="en-US"/>
        </w:rPr>
        <w:t>от 2,4 до 2,6</w:t>
      </w:r>
      <w:r w:rsidR="00A85077">
        <w:rPr>
          <w:rFonts w:eastAsia="Calibri"/>
          <w:noProof/>
          <w:sz w:val="24"/>
          <w:szCs w:val="24"/>
          <w:lang w:eastAsia="en-US"/>
        </w:rPr>
        <w:t>5</w:t>
      </w:r>
      <w:r w:rsidRPr="00966AE1">
        <w:rPr>
          <w:rFonts w:eastAsia="Calibri"/>
          <w:noProof/>
          <w:sz w:val="24"/>
          <w:szCs w:val="24"/>
          <w:lang w:eastAsia="en-US"/>
        </w:rPr>
        <w:t xml:space="preserve"> тыс. мигрантов </w:t>
      </w:r>
      <w:r>
        <w:rPr>
          <w:rFonts w:eastAsia="Calibri"/>
          <w:noProof/>
          <w:sz w:val="24"/>
          <w:szCs w:val="24"/>
          <w:lang w:eastAsia="en-US"/>
        </w:rPr>
        <w:t>ежегодно</w:t>
      </w:r>
      <w:r w:rsidRPr="00966AE1">
        <w:rPr>
          <w:rFonts w:eastAsia="Calibri"/>
          <w:noProof/>
          <w:sz w:val="24"/>
          <w:szCs w:val="24"/>
          <w:lang w:eastAsia="en-US"/>
        </w:rPr>
        <w:t>.</w:t>
      </w:r>
    </w:p>
    <w:p w:rsidR="009C5522" w:rsidRDefault="00420ABB" w:rsidP="00420ABB">
      <w:pPr>
        <w:widowControl w:val="0"/>
        <w:jc w:val="center"/>
        <w:rPr>
          <w:b/>
          <w:i/>
          <w:sz w:val="24"/>
          <w:szCs w:val="24"/>
        </w:rPr>
      </w:pPr>
      <w:r>
        <w:rPr>
          <w:b/>
          <w:i/>
          <w:sz w:val="24"/>
          <w:szCs w:val="24"/>
        </w:rPr>
        <w:lastRenderedPageBreak/>
        <w:t>П</w:t>
      </w:r>
      <w:r w:rsidRPr="00966AE1">
        <w:rPr>
          <w:b/>
          <w:i/>
          <w:sz w:val="24"/>
          <w:szCs w:val="24"/>
        </w:rPr>
        <w:t xml:space="preserve">рогноз среднегодовой численности населения города Твери </w:t>
      </w:r>
      <w:r w:rsidR="009C5522">
        <w:rPr>
          <w:b/>
          <w:i/>
          <w:sz w:val="24"/>
          <w:szCs w:val="24"/>
        </w:rPr>
        <w:br/>
      </w:r>
      <w:r w:rsidR="00816B73">
        <w:rPr>
          <w:b/>
          <w:i/>
          <w:sz w:val="24"/>
          <w:szCs w:val="24"/>
        </w:rPr>
        <w:t xml:space="preserve">и ожидаемая продолжительность жизни </w:t>
      </w:r>
      <w:r w:rsidR="009C5522">
        <w:rPr>
          <w:b/>
          <w:i/>
          <w:sz w:val="24"/>
          <w:szCs w:val="24"/>
        </w:rPr>
        <w:t>городского населения Тверской области</w:t>
      </w:r>
    </w:p>
    <w:p w:rsidR="00420ABB" w:rsidRDefault="00420ABB" w:rsidP="00420ABB">
      <w:pPr>
        <w:widowControl w:val="0"/>
        <w:jc w:val="center"/>
        <w:rPr>
          <w:b/>
          <w:i/>
          <w:sz w:val="24"/>
          <w:szCs w:val="24"/>
        </w:rPr>
      </w:pPr>
      <w:r w:rsidRPr="00966AE1">
        <w:rPr>
          <w:b/>
          <w:i/>
          <w:sz w:val="24"/>
          <w:szCs w:val="24"/>
        </w:rPr>
        <w:t>до 202</w:t>
      </w:r>
      <w:r w:rsidR="00A85077">
        <w:rPr>
          <w:b/>
          <w:i/>
          <w:sz w:val="24"/>
          <w:szCs w:val="24"/>
        </w:rPr>
        <w:t>5</w:t>
      </w:r>
      <w:r w:rsidRPr="00966AE1">
        <w:rPr>
          <w:b/>
          <w:i/>
          <w:sz w:val="24"/>
          <w:szCs w:val="24"/>
        </w:rPr>
        <w:t xml:space="preserve"> года</w:t>
      </w:r>
    </w:p>
    <w:p w:rsidR="00420ABB" w:rsidRPr="00966AE1" w:rsidRDefault="00420ABB" w:rsidP="00420ABB">
      <w:pPr>
        <w:widowControl w:val="0"/>
        <w:jc w:val="right"/>
        <w:rPr>
          <w:i/>
          <w:sz w:val="24"/>
          <w:szCs w:val="24"/>
        </w:rPr>
      </w:pPr>
      <w:r w:rsidRPr="00966AE1">
        <w:rPr>
          <w:i/>
          <w:sz w:val="24"/>
          <w:szCs w:val="24"/>
        </w:rPr>
        <w:t>тыс. человек</w:t>
      </w:r>
    </w:p>
    <w:p w:rsidR="00420ABB" w:rsidRPr="00966AE1" w:rsidRDefault="00816B73" w:rsidP="00420ABB">
      <w:pPr>
        <w:widowControl w:val="0"/>
        <w:spacing w:line="312" w:lineRule="auto"/>
        <w:jc w:val="both"/>
        <w:rPr>
          <w:sz w:val="24"/>
          <w:szCs w:val="24"/>
        </w:rPr>
      </w:pPr>
      <w:r w:rsidRPr="00966AE1">
        <w:rPr>
          <w:noProof/>
          <w:color w:val="0070C0"/>
        </w:rPr>
        <mc:AlternateContent>
          <mc:Choice Requires="wps">
            <w:drawing>
              <wp:anchor distT="0" distB="0" distL="114300" distR="114300" simplePos="0" relativeHeight="251710464" behindDoc="0" locked="0" layoutInCell="1" allowOverlap="1" wp14:anchorId="411329A8" wp14:editId="1731E774">
                <wp:simplePos x="0" y="0"/>
                <wp:positionH relativeFrom="column">
                  <wp:posOffset>4173220</wp:posOffset>
                </wp:positionH>
                <wp:positionV relativeFrom="paragraph">
                  <wp:posOffset>1021080</wp:posOffset>
                </wp:positionV>
                <wp:extent cx="758825" cy="222250"/>
                <wp:effectExtent l="0" t="0" r="0" b="635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sidRPr="00AF452B">
                              <w:rPr>
                                <w:i/>
                              </w:rPr>
                              <w:t>7</w:t>
                            </w:r>
                            <w:r>
                              <w:rPr>
                                <w:i/>
                              </w:rPr>
                              <w:t>3,10</w:t>
                            </w:r>
                            <w:r w:rsidRPr="00AF452B">
                              <w:rPr>
                                <w:i/>
                              </w:rPr>
                              <w:t xml:space="preserve"> лет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7" o:spid="_x0000_s1027" type="#_x0000_t202" style="position:absolute;left:0;text-align:left;margin-left:328.6pt;margin-top:80.4pt;width:59.75pt;height: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" filled="f" stroked="f">
                <v:textbox>
                  <w:txbxContent>
                    <w:p w:rsidR="008B12B4" w:rsidRPr="00AF452B" w:rsidRDefault="008B12B4" w:rsidP="00420ABB">
                      <w:pPr>
                        <w:rPr>
                          <w:i/>
                        </w:rPr>
                      </w:pPr>
                      <w:r w:rsidRPr="00AF452B">
                        <w:rPr>
                          <w:i/>
                        </w:rPr>
                        <w:t>7</w:t>
                      </w:r>
                      <w:r>
                        <w:rPr>
                          <w:i/>
                        </w:rPr>
                        <w:t>3,10</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7392" behindDoc="0" locked="0" layoutInCell="1" allowOverlap="1" wp14:anchorId="70890350" wp14:editId="5350FA6A">
                <wp:simplePos x="0" y="0"/>
                <wp:positionH relativeFrom="column">
                  <wp:posOffset>3368675</wp:posOffset>
                </wp:positionH>
                <wp:positionV relativeFrom="paragraph">
                  <wp:posOffset>1221740</wp:posOffset>
                </wp:positionV>
                <wp:extent cx="758825" cy="252095"/>
                <wp:effectExtent l="0" t="0" r="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sidRPr="00AF452B">
                              <w:rPr>
                                <w:i/>
                              </w:rPr>
                              <w:t>7</w:t>
                            </w:r>
                            <w:r>
                              <w:rPr>
                                <w:i/>
                              </w:rPr>
                              <w:t xml:space="preserve">2,68 </w:t>
                            </w:r>
                            <w:r w:rsidRPr="00AF452B">
                              <w:rPr>
                                <w:i/>
                              </w:rPr>
                              <w:t>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2" o:spid="_x0000_s1028" type="#_x0000_t202" style="position:absolute;left:0;text-align:left;margin-left:265.25pt;margin-top:96.2pt;width:59.75pt;height:19.8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" filled="f" stroked="f">
                <v:textbox style="mso-fit-shape-to-text:t">
                  <w:txbxContent>
                    <w:p w:rsidR="008B12B4" w:rsidRPr="00AF452B" w:rsidRDefault="008B12B4" w:rsidP="00420ABB">
                      <w:pPr>
                        <w:rPr>
                          <w:i/>
                        </w:rPr>
                      </w:pPr>
                      <w:r w:rsidRPr="00AF452B">
                        <w:rPr>
                          <w:i/>
                        </w:rPr>
                        <w:t>7</w:t>
                      </w:r>
                      <w:r>
                        <w:rPr>
                          <w:i/>
                        </w:rPr>
                        <w:t xml:space="preserve">2,68 </w:t>
                      </w:r>
                      <w:r w:rsidRPr="00AF452B">
                        <w:rPr>
                          <w:i/>
                        </w:rPr>
                        <w:t>лет</w:t>
                      </w:r>
                    </w:p>
                  </w:txbxContent>
                </v:textbox>
              </v:shape>
            </w:pict>
          </mc:Fallback>
        </mc:AlternateContent>
      </w:r>
      <w:r w:rsidRPr="00966AE1">
        <w:rPr>
          <w:noProof/>
          <w:color w:val="0070C0"/>
        </w:rPr>
        <mc:AlternateContent>
          <mc:Choice Requires="wps">
            <w:drawing>
              <wp:anchor distT="0" distB="0" distL="114300" distR="114300" simplePos="0" relativeHeight="251709440" behindDoc="0" locked="0" layoutInCell="1" allowOverlap="1" wp14:anchorId="64A392FE" wp14:editId="724AF5FC">
                <wp:simplePos x="0" y="0"/>
                <wp:positionH relativeFrom="column">
                  <wp:posOffset>2603500</wp:posOffset>
                </wp:positionH>
                <wp:positionV relativeFrom="paragraph">
                  <wp:posOffset>1373505</wp:posOffset>
                </wp:positionV>
                <wp:extent cx="941705" cy="252095"/>
                <wp:effectExtent l="0" t="0" r="0"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sidRPr="00AF452B">
                              <w:rPr>
                                <w:i/>
                              </w:rPr>
                              <w:t>7</w:t>
                            </w:r>
                            <w:r>
                              <w:rPr>
                                <w:i/>
                              </w:rPr>
                              <w:t>2,25</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3" o:spid="_x0000_s1029" type="#_x0000_t202" style="position:absolute;left:0;text-align:left;margin-left:205pt;margin-top:108.15pt;width:74.15pt;height:19.8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" filled="f" stroked="f">
                <v:textbox style="mso-fit-shape-to-text:t">
                  <w:txbxContent>
                    <w:p w:rsidR="008B12B4" w:rsidRPr="00AF452B" w:rsidRDefault="008B12B4" w:rsidP="00420ABB">
                      <w:pPr>
                        <w:rPr>
                          <w:i/>
                        </w:rPr>
                      </w:pPr>
                      <w:r w:rsidRPr="00AF452B">
                        <w:rPr>
                          <w:i/>
                        </w:rPr>
                        <w:t>7</w:t>
                      </w:r>
                      <w:r>
                        <w:rPr>
                          <w:i/>
                        </w:rPr>
                        <w:t>2,25</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8416" behindDoc="0" locked="0" layoutInCell="1" allowOverlap="1" wp14:anchorId="40CBAAF9" wp14:editId="606AF7FC">
                <wp:simplePos x="0" y="0"/>
                <wp:positionH relativeFrom="column">
                  <wp:posOffset>1825625</wp:posOffset>
                </wp:positionH>
                <wp:positionV relativeFrom="paragraph">
                  <wp:posOffset>1607185</wp:posOffset>
                </wp:positionV>
                <wp:extent cx="869950" cy="252095"/>
                <wp:effectExtent l="0"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Pr>
                                <w:i/>
                              </w:rPr>
                              <w:t>71,81</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4" o:spid="_x0000_s1030" type="#_x0000_t202" style="position:absolute;left:0;text-align:left;margin-left:143.75pt;margin-top:126.55pt;width:68.5pt;height:19.8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" filled="f" stroked="f">
                <v:textbox style="mso-fit-shape-to-text:t">
                  <w:txbxContent>
                    <w:p w:rsidR="008B12B4" w:rsidRPr="00AF452B" w:rsidRDefault="008B12B4" w:rsidP="00420ABB">
                      <w:pPr>
                        <w:rPr>
                          <w:i/>
                        </w:rPr>
                      </w:pPr>
                      <w:r>
                        <w:rPr>
                          <w:i/>
                        </w:rPr>
                        <w:t>71,81</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6368" behindDoc="0" locked="0" layoutInCell="1" allowOverlap="1" wp14:anchorId="02B85D1C" wp14:editId="75D8B77C">
                <wp:simplePos x="0" y="0"/>
                <wp:positionH relativeFrom="column">
                  <wp:posOffset>1029970</wp:posOffset>
                </wp:positionH>
                <wp:positionV relativeFrom="paragraph">
                  <wp:posOffset>1721291</wp:posOffset>
                </wp:positionV>
                <wp:extent cx="863600" cy="252095"/>
                <wp:effectExtent l="0" t="0" r="0"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Pr>
                                <w:i/>
                              </w:rPr>
                              <w:t>71,37</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5" o:spid="_x0000_s1031" type="#_x0000_t202" style="position:absolute;left:0;text-align:left;margin-left:81.1pt;margin-top:135.55pt;width:68pt;height:19.8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T5xQIAAME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" filled="f" stroked="f">
                <v:textbox style="mso-fit-shape-to-text:t">
                  <w:txbxContent>
                    <w:p w:rsidR="008B12B4" w:rsidRPr="00AF452B" w:rsidRDefault="008B12B4" w:rsidP="00420ABB">
                      <w:pPr>
                        <w:rPr>
                          <w:i/>
                        </w:rPr>
                      </w:pPr>
                      <w:r>
                        <w:rPr>
                          <w:i/>
                        </w:rPr>
                        <w:t>71,37</w:t>
                      </w:r>
                      <w:r w:rsidRPr="00AF452B">
                        <w:rPr>
                          <w:i/>
                        </w:rPr>
                        <w:t xml:space="preserve"> лет</w:t>
                      </w:r>
                    </w:p>
                  </w:txbxContent>
                </v:textbox>
              </v:shape>
            </w:pict>
          </mc:Fallback>
        </mc:AlternateContent>
      </w:r>
      <w:r w:rsidRPr="00966AE1">
        <w:rPr>
          <w:noProof/>
          <w:color w:val="0070C0"/>
        </w:rPr>
        <mc:AlternateContent>
          <mc:Choice Requires="wps">
            <w:drawing>
              <wp:anchor distT="0" distB="0" distL="114300" distR="114300" simplePos="0" relativeHeight="251705344" behindDoc="0" locked="0" layoutInCell="1" allowOverlap="1" wp14:anchorId="160418B9" wp14:editId="3635213D">
                <wp:simplePos x="0" y="0"/>
                <wp:positionH relativeFrom="column">
                  <wp:posOffset>290195</wp:posOffset>
                </wp:positionH>
                <wp:positionV relativeFrom="paragraph">
                  <wp:posOffset>1818640</wp:posOffset>
                </wp:positionV>
                <wp:extent cx="775970" cy="252095"/>
                <wp:effectExtent l="0" t="0" r="0"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rPr>
                            </w:pPr>
                            <w:r>
                              <w:rPr>
                                <w:i/>
                              </w:rPr>
                              <w:t>70,91</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6" o:spid="_x0000_s1032" type="#_x0000_t202" style="position:absolute;left:0;text-align:left;margin-left:22.85pt;margin-top:143.2pt;width:61.1pt;height:19.8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" filled="f" stroked="f">
                <v:textbox style="mso-fit-shape-to-text:t">
                  <w:txbxContent>
                    <w:p w:rsidR="008B12B4" w:rsidRPr="00AF452B" w:rsidRDefault="008B12B4" w:rsidP="00420ABB">
                      <w:pPr>
                        <w:rPr>
                          <w:i/>
                        </w:rPr>
                      </w:pPr>
                      <w:r>
                        <w:rPr>
                          <w:i/>
                        </w:rPr>
                        <w:t>70,91</w:t>
                      </w:r>
                      <w:r w:rsidRPr="00AF452B">
                        <w:rPr>
                          <w:i/>
                        </w:rPr>
                        <w:t xml:space="preserve"> лет</w:t>
                      </w:r>
                    </w:p>
                  </w:txbxContent>
                </v:textbox>
              </v:shape>
            </w:pict>
          </mc:Fallback>
        </mc:AlternateContent>
      </w:r>
      <w:r w:rsidR="00A85077" w:rsidRPr="00966AE1">
        <w:rPr>
          <w:noProof/>
          <w:color w:val="0070C0"/>
        </w:rPr>
        <mc:AlternateContent>
          <mc:Choice Requires="wps">
            <w:drawing>
              <wp:anchor distT="0" distB="0" distL="114300" distR="114300" simplePos="0" relativeHeight="251715584" behindDoc="0" locked="0" layoutInCell="1" allowOverlap="1" wp14:anchorId="2F48E532" wp14:editId="1A8D864F">
                <wp:simplePos x="0" y="0"/>
                <wp:positionH relativeFrom="column">
                  <wp:posOffset>5695315</wp:posOffset>
                </wp:positionH>
                <wp:positionV relativeFrom="paragraph">
                  <wp:posOffset>570230</wp:posOffset>
                </wp:positionV>
                <wp:extent cx="758825" cy="252095"/>
                <wp:effectExtent l="0" t="0" r="0"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sz w:val="18"/>
                              </w:rPr>
                            </w:pPr>
                            <w:r w:rsidRPr="00AF452B">
                              <w:rPr>
                                <w:i/>
                              </w:rPr>
                              <w:t>7</w:t>
                            </w:r>
                            <w:r>
                              <w:rPr>
                                <w:i/>
                              </w:rPr>
                              <w:t>3,93</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5" o:spid="_x0000_s1033" type="#_x0000_t202" style="position:absolute;left:0;text-align:left;margin-left:448.45pt;margin-top:44.9pt;width:59.75pt;height:19.8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" filled="f" stroked="f">
                <v:textbox style="mso-fit-shape-to-text:t">
                  <w:txbxContent>
                    <w:p w:rsidR="008B12B4" w:rsidRPr="00AF452B" w:rsidRDefault="008B12B4" w:rsidP="00420ABB">
                      <w:pPr>
                        <w:rPr>
                          <w:i/>
                          <w:sz w:val="18"/>
                        </w:rPr>
                      </w:pPr>
                      <w:r w:rsidRPr="00AF452B">
                        <w:rPr>
                          <w:i/>
                        </w:rPr>
                        <w:t>7</w:t>
                      </w:r>
                      <w:r>
                        <w:rPr>
                          <w:i/>
                        </w:rPr>
                        <w:t>3,93</w:t>
                      </w:r>
                      <w:r w:rsidRPr="00AF452B">
                        <w:rPr>
                          <w:i/>
                        </w:rPr>
                        <w:t xml:space="preserve"> лет</w:t>
                      </w:r>
                    </w:p>
                  </w:txbxContent>
                </v:textbox>
              </v:shape>
            </w:pict>
          </mc:Fallback>
        </mc:AlternateContent>
      </w:r>
      <w:r w:rsidR="00A85077" w:rsidRPr="00966AE1">
        <w:rPr>
          <w:noProof/>
          <w:color w:val="0070C0"/>
        </w:rPr>
        <mc:AlternateContent>
          <mc:Choice Requires="wps">
            <w:drawing>
              <wp:anchor distT="0" distB="0" distL="114300" distR="114300" simplePos="0" relativeHeight="251711488" behindDoc="0" locked="0" layoutInCell="1" allowOverlap="1" wp14:anchorId="426641B1" wp14:editId="67F2F798">
                <wp:simplePos x="0" y="0"/>
                <wp:positionH relativeFrom="column">
                  <wp:posOffset>4930140</wp:posOffset>
                </wp:positionH>
                <wp:positionV relativeFrom="paragraph">
                  <wp:posOffset>779145</wp:posOffset>
                </wp:positionV>
                <wp:extent cx="758825" cy="252095"/>
                <wp:effectExtent l="0" t="0"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69" w:rsidRPr="00AF452B" w:rsidRDefault="008B1069" w:rsidP="00420ABB">
                            <w:pPr>
                              <w:rPr>
                                <w:i/>
                                <w:sz w:val="18"/>
                              </w:rPr>
                            </w:pPr>
                            <w:r w:rsidRPr="00AF452B">
                              <w:rPr>
                                <w:i/>
                              </w:rPr>
                              <w:t>7</w:t>
                            </w:r>
                            <w:r>
                              <w:rPr>
                                <w:i/>
                              </w:rPr>
                              <w:t>3,52</w:t>
                            </w:r>
                            <w:r w:rsidRPr="00AF452B">
                              <w:rPr>
                                <w:i/>
                              </w:rPr>
                              <w:t xml:space="preserve">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6" o:spid="_x0000_s1034" type="#_x0000_t202" style="position:absolute;left:0;text-align:left;margin-left:388.2pt;margin-top:61.35pt;width:59.75pt;height:19.8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" filled="f" stroked="f">
                <v:textbox style="mso-fit-shape-to-text:t">
                  <w:txbxContent>
                    <w:p w:rsidR="008B12B4" w:rsidRPr="00AF452B" w:rsidRDefault="008B12B4" w:rsidP="00420ABB">
                      <w:pPr>
                        <w:rPr>
                          <w:i/>
                          <w:sz w:val="18"/>
                        </w:rPr>
                      </w:pPr>
                      <w:r w:rsidRPr="00AF452B">
                        <w:rPr>
                          <w:i/>
                        </w:rPr>
                        <w:t>7</w:t>
                      </w:r>
                      <w:r>
                        <w:rPr>
                          <w:i/>
                        </w:rPr>
                        <w:t>3,52</w:t>
                      </w:r>
                      <w:r w:rsidRPr="00AF452B">
                        <w:rPr>
                          <w:i/>
                        </w:rPr>
                        <w:t xml:space="preserve"> лет</w:t>
                      </w:r>
                    </w:p>
                  </w:txbxContent>
                </v:textbox>
              </v:shape>
            </w:pict>
          </mc:Fallback>
        </mc:AlternateContent>
      </w:r>
      <w:r w:rsidR="00420ABB" w:rsidRPr="00966AE1">
        <w:rPr>
          <w:noProof/>
          <w:color w:val="0070C0"/>
          <w:sz w:val="24"/>
          <w:szCs w:val="24"/>
        </w:rPr>
        <w:drawing>
          <wp:inline distT="0" distB="0" distL="0" distR="0" wp14:anchorId="05E9CE58" wp14:editId="759DCB93">
            <wp:extent cx="6512118" cy="2353586"/>
            <wp:effectExtent l="0" t="0" r="3175" b="2794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0ABB" w:rsidRPr="007F1A50" w:rsidRDefault="00420ABB" w:rsidP="00420ABB">
      <w:pPr>
        <w:widowControl w:val="0"/>
        <w:jc w:val="center"/>
        <w:rPr>
          <w:b/>
          <w:sz w:val="24"/>
          <w:szCs w:val="24"/>
        </w:rPr>
      </w:pPr>
    </w:p>
    <w:p w:rsidR="001375EE" w:rsidRPr="007F1A50" w:rsidRDefault="001375EE" w:rsidP="00D80ECF">
      <w:pPr>
        <w:spacing w:line="288" w:lineRule="auto"/>
        <w:jc w:val="both"/>
        <w:rPr>
          <w:b/>
          <w:sz w:val="24"/>
          <w:szCs w:val="24"/>
        </w:rPr>
      </w:pPr>
      <w:r w:rsidRPr="007F1A50">
        <w:rPr>
          <w:b/>
          <w:sz w:val="24"/>
          <w:szCs w:val="24"/>
        </w:rPr>
        <w:t xml:space="preserve">2. Объем отгруженных товаров собственного производства, выполненных работ и услуг </w:t>
      </w:r>
    </w:p>
    <w:p w:rsidR="00300FA7" w:rsidRPr="00300FA7" w:rsidRDefault="00300FA7" w:rsidP="00300FA7">
      <w:pPr>
        <w:spacing w:line="312" w:lineRule="auto"/>
        <w:ind w:firstLine="566"/>
        <w:jc w:val="both"/>
        <w:rPr>
          <w:sz w:val="10"/>
          <w:szCs w:val="24"/>
        </w:rPr>
      </w:pPr>
    </w:p>
    <w:p w:rsidR="00433834" w:rsidRDefault="00300FA7" w:rsidP="00300FA7">
      <w:pPr>
        <w:spacing w:line="312" w:lineRule="auto"/>
        <w:ind w:firstLine="566"/>
        <w:jc w:val="both"/>
        <w:rPr>
          <w:sz w:val="24"/>
          <w:szCs w:val="24"/>
        </w:rPr>
      </w:pPr>
      <w:r w:rsidRPr="005245E0">
        <w:rPr>
          <w:sz w:val="24"/>
          <w:szCs w:val="24"/>
          <w:u w:val="single"/>
        </w:rPr>
        <w:t>Итоги 2018 года.</w:t>
      </w:r>
      <w:r w:rsidRPr="005245E0">
        <w:rPr>
          <w:sz w:val="24"/>
          <w:szCs w:val="24"/>
        </w:rPr>
        <w:t xml:space="preserve"> </w:t>
      </w:r>
      <w:r w:rsidR="00433834">
        <w:rPr>
          <w:sz w:val="24"/>
          <w:szCs w:val="24"/>
        </w:rPr>
        <w:t>Ведущим сектором экономики города Твери является промышленность - основа реализации национальных проектов. Предприятия реального сектора в</w:t>
      </w:r>
      <w:r w:rsidR="00433834" w:rsidRPr="00D772D2">
        <w:rPr>
          <w:sz w:val="24"/>
          <w:szCs w:val="24"/>
        </w:rPr>
        <w:t xml:space="preserve"> городе Твери производ</w:t>
      </w:r>
      <w:r w:rsidR="00433834">
        <w:rPr>
          <w:sz w:val="24"/>
          <w:szCs w:val="24"/>
        </w:rPr>
        <w:t>ят</w:t>
      </w:r>
      <w:r w:rsidR="00433834" w:rsidRPr="00D772D2">
        <w:rPr>
          <w:sz w:val="24"/>
          <w:szCs w:val="24"/>
        </w:rPr>
        <w:t xml:space="preserve"> 41,1% промышленной продукции Тверской области</w:t>
      </w:r>
      <w:r w:rsidR="00FB1444">
        <w:rPr>
          <w:sz w:val="24"/>
          <w:szCs w:val="24"/>
        </w:rPr>
        <w:t xml:space="preserve"> и </w:t>
      </w:r>
      <w:r w:rsidR="00433834">
        <w:rPr>
          <w:sz w:val="24"/>
          <w:szCs w:val="24"/>
        </w:rPr>
        <w:t>в значительной степени влияют на благополучие и уровень жизни населения.</w:t>
      </w:r>
    </w:p>
    <w:p w:rsidR="00433834" w:rsidRDefault="00433834" w:rsidP="00433834">
      <w:pPr>
        <w:spacing w:line="288" w:lineRule="auto"/>
        <w:ind w:firstLine="567"/>
        <w:jc w:val="both"/>
        <w:rPr>
          <w:color w:val="365F91"/>
          <w:sz w:val="24"/>
          <w:szCs w:val="24"/>
        </w:rPr>
      </w:pPr>
      <w:r w:rsidRPr="002F2D50">
        <w:rPr>
          <w:sz w:val="24"/>
          <w:szCs w:val="24"/>
        </w:rPr>
        <w:t>В 2018 году отгружено товаров собственного производства, выполнено работ и услуг в объеме 142,7 млрд. рублей, что на 29% выше уровня 2017 года. Обрабатывающими производствами города отгружено товаров, выполнено работ и услуг на 120,3 млрд. рублей, что на 35,3% выше объемов 2017 года в действующих ценах.</w:t>
      </w:r>
      <w:r w:rsidRPr="002F2D50">
        <w:rPr>
          <w:color w:val="365F91"/>
          <w:sz w:val="24"/>
          <w:szCs w:val="24"/>
        </w:rPr>
        <w:t xml:space="preserve"> </w:t>
      </w:r>
    </w:p>
    <w:p w:rsidR="00433834" w:rsidRDefault="00433834" w:rsidP="00433834">
      <w:pPr>
        <w:spacing w:line="288" w:lineRule="auto"/>
        <w:ind w:firstLine="567"/>
        <w:jc w:val="both"/>
        <w:rPr>
          <w:sz w:val="24"/>
          <w:szCs w:val="24"/>
        </w:rPr>
      </w:pPr>
      <w:r w:rsidRPr="00966AE1">
        <w:rPr>
          <w:rFonts w:ascii="Arial" w:hAnsi="Arial" w:cs="Arial"/>
          <w:noProof/>
          <w:sz w:val="2"/>
          <w:szCs w:val="2"/>
        </w:rPr>
        <w:drawing>
          <wp:anchor distT="0" distB="0" distL="114300" distR="114300" simplePos="0" relativeHeight="251736064" behindDoc="0" locked="0" layoutInCell="1" allowOverlap="1" wp14:anchorId="5EFC5B03" wp14:editId="123C79AE">
            <wp:simplePos x="0" y="0"/>
            <wp:positionH relativeFrom="column">
              <wp:posOffset>217170</wp:posOffset>
            </wp:positionH>
            <wp:positionV relativeFrom="paragraph">
              <wp:posOffset>17145</wp:posOffset>
            </wp:positionV>
            <wp:extent cx="357505" cy="252095"/>
            <wp:effectExtent l="0" t="0" r="4445" b="0"/>
            <wp:wrapNone/>
            <wp:docPr id="6" name="Рисунок 6"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50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sidRPr="007F0774">
        <w:rPr>
          <w:sz w:val="24"/>
          <w:szCs w:val="24"/>
        </w:rPr>
        <w:t>В</w:t>
      </w:r>
      <w:r>
        <w:rPr>
          <w:color w:val="365F91"/>
          <w:sz w:val="24"/>
          <w:szCs w:val="24"/>
        </w:rPr>
        <w:t xml:space="preserve"> </w:t>
      </w:r>
      <w:r w:rsidRPr="002F2D50">
        <w:rPr>
          <w:sz w:val="24"/>
          <w:szCs w:val="24"/>
        </w:rPr>
        <w:t>рейтинг</w:t>
      </w:r>
      <w:r>
        <w:rPr>
          <w:sz w:val="24"/>
          <w:szCs w:val="24"/>
        </w:rPr>
        <w:t>е</w:t>
      </w:r>
      <w:r w:rsidRPr="002F2D50">
        <w:rPr>
          <w:sz w:val="24"/>
          <w:szCs w:val="24"/>
        </w:rPr>
        <w:t xml:space="preserve"> 16</w:t>
      </w:r>
      <w:r>
        <w:rPr>
          <w:sz w:val="24"/>
          <w:szCs w:val="24"/>
        </w:rPr>
        <w:t>-</w:t>
      </w:r>
      <w:r w:rsidRPr="007F0774">
        <w:rPr>
          <w:i/>
          <w:sz w:val="24"/>
          <w:szCs w:val="24"/>
        </w:rPr>
        <w:t xml:space="preserve">ти </w:t>
      </w:r>
      <w:r w:rsidRPr="002F2D50">
        <w:rPr>
          <w:sz w:val="24"/>
          <w:szCs w:val="24"/>
        </w:rPr>
        <w:t xml:space="preserve">областных центров ЦФО город Тверь занимал 6 место по объему отгруженных товаров обрабатывающими производствами на 1 жителя. </w:t>
      </w:r>
    </w:p>
    <w:p w:rsidR="00433834" w:rsidRPr="00941BF3" w:rsidRDefault="00433834" w:rsidP="00433834">
      <w:pPr>
        <w:spacing w:line="264" w:lineRule="auto"/>
        <w:ind w:firstLine="567"/>
        <w:jc w:val="both"/>
        <w:rPr>
          <w:sz w:val="12"/>
          <w:szCs w:val="24"/>
        </w:rPr>
      </w:pPr>
    </w:p>
    <w:p w:rsidR="00433834" w:rsidRPr="002F2D50" w:rsidRDefault="00433834" w:rsidP="00433834">
      <w:pPr>
        <w:widowControl w:val="0"/>
        <w:ind w:firstLine="567"/>
        <w:jc w:val="center"/>
        <w:rPr>
          <w:b/>
          <w:i/>
          <w:sz w:val="24"/>
          <w:szCs w:val="24"/>
        </w:rPr>
      </w:pPr>
      <w:r w:rsidRPr="002F2D50">
        <w:rPr>
          <w:b/>
          <w:i/>
          <w:sz w:val="24"/>
          <w:szCs w:val="24"/>
        </w:rPr>
        <w:t xml:space="preserve">Структура объемов отгруженных товаров, выполненных работ </w:t>
      </w:r>
      <w:r w:rsidRPr="002F2D50">
        <w:rPr>
          <w:b/>
          <w:i/>
          <w:sz w:val="24"/>
          <w:szCs w:val="24"/>
        </w:rPr>
        <w:br/>
        <w:t>и услуг по видам экономической деятельности в 2018 году</w:t>
      </w:r>
    </w:p>
    <w:p w:rsidR="00433834" w:rsidRPr="00FE2E06" w:rsidRDefault="00433834" w:rsidP="00433834">
      <w:pPr>
        <w:widowControl w:val="0"/>
        <w:spacing w:line="264" w:lineRule="auto"/>
        <w:ind w:firstLine="567"/>
        <w:jc w:val="right"/>
        <w:rPr>
          <w:i/>
          <w:sz w:val="24"/>
          <w:szCs w:val="24"/>
        </w:rPr>
      </w:pPr>
      <w:proofErr w:type="gramStart"/>
      <w:r w:rsidRPr="00FE2E06">
        <w:rPr>
          <w:i/>
          <w:sz w:val="24"/>
          <w:szCs w:val="24"/>
        </w:rPr>
        <w:t>в</w:t>
      </w:r>
      <w:proofErr w:type="gramEnd"/>
      <w:r w:rsidRPr="00FE2E06">
        <w:rPr>
          <w:i/>
          <w:sz w:val="24"/>
          <w:szCs w:val="24"/>
        </w:rPr>
        <w:t xml:space="preserve"> % к итогу</w:t>
      </w:r>
    </w:p>
    <w:p w:rsidR="00433834" w:rsidRPr="00FE2E06" w:rsidRDefault="00433834" w:rsidP="00433834">
      <w:pPr>
        <w:spacing w:line="264" w:lineRule="auto"/>
        <w:ind w:right="-2"/>
        <w:jc w:val="center"/>
        <w:rPr>
          <w:b/>
          <w:color w:val="C00000"/>
          <w:sz w:val="24"/>
          <w:szCs w:val="24"/>
        </w:rPr>
      </w:pPr>
      <w:r>
        <w:rPr>
          <w:noProof/>
        </w:rPr>
        <w:drawing>
          <wp:inline distT="0" distB="0" distL="0" distR="0" wp14:anchorId="431C7A11" wp14:editId="3683C9B3">
            <wp:extent cx="6346209" cy="2790967"/>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3834" w:rsidRPr="007F0774" w:rsidRDefault="00433834" w:rsidP="00433834">
      <w:pPr>
        <w:spacing w:line="288" w:lineRule="auto"/>
        <w:ind w:firstLine="567"/>
        <w:jc w:val="both"/>
        <w:rPr>
          <w:sz w:val="24"/>
          <w:szCs w:val="24"/>
        </w:rPr>
      </w:pPr>
      <w:r w:rsidRPr="002F2D50">
        <w:rPr>
          <w:sz w:val="24"/>
          <w:szCs w:val="24"/>
        </w:rPr>
        <w:lastRenderedPageBreak/>
        <w:t>В структуре объемов отгруженных товаров, выполненных работ и услуг 2018 года удельный вес продукции обработки составил 84,33%</w:t>
      </w:r>
      <w:r w:rsidR="00C57AB3">
        <w:rPr>
          <w:sz w:val="24"/>
          <w:szCs w:val="24"/>
        </w:rPr>
        <w:t xml:space="preserve">, где лидирующие позиции заняли </w:t>
      </w:r>
      <w:r w:rsidRPr="002F2D50">
        <w:rPr>
          <w:sz w:val="24"/>
          <w:szCs w:val="24"/>
        </w:rPr>
        <w:t xml:space="preserve">производства прочих транспортных средств и оборудования (52%), </w:t>
      </w:r>
      <w:r w:rsidRPr="008F54BF">
        <w:rPr>
          <w:sz w:val="24"/>
          <w:szCs w:val="24"/>
        </w:rPr>
        <w:t xml:space="preserve">пищевых продуктов (10%), </w:t>
      </w:r>
      <w:r w:rsidRPr="007F0774">
        <w:rPr>
          <w:sz w:val="24"/>
          <w:szCs w:val="24"/>
        </w:rPr>
        <w:t>машин и оборудования, не включенных в другие группировки (9%), резиновых и пластмассовых изделий (5%).</w:t>
      </w:r>
    </w:p>
    <w:p w:rsidR="00433834" w:rsidRPr="002F2D50" w:rsidRDefault="00433834" w:rsidP="00433834">
      <w:pPr>
        <w:spacing w:line="288" w:lineRule="auto"/>
        <w:ind w:firstLine="567"/>
        <w:jc w:val="both"/>
        <w:rPr>
          <w:sz w:val="24"/>
          <w:szCs w:val="24"/>
        </w:rPr>
      </w:pPr>
      <w:r w:rsidRPr="002F2D50">
        <w:rPr>
          <w:sz w:val="24"/>
          <w:szCs w:val="24"/>
        </w:rPr>
        <w:t>В 2018 году повышение объемов отгрузки обеспечено по 15-</w:t>
      </w:r>
      <w:r w:rsidRPr="00C57AB3">
        <w:rPr>
          <w:i/>
          <w:sz w:val="24"/>
          <w:szCs w:val="24"/>
        </w:rPr>
        <w:t>ти</w:t>
      </w:r>
      <w:r w:rsidRPr="002F2D50">
        <w:rPr>
          <w:sz w:val="24"/>
          <w:szCs w:val="24"/>
        </w:rPr>
        <w:t xml:space="preserve"> видам экономической деятельности из 21-</w:t>
      </w:r>
      <w:r w:rsidRPr="00C57AB3">
        <w:rPr>
          <w:i/>
          <w:sz w:val="24"/>
          <w:szCs w:val="24"/>
        </w:rPr>
        <w:t>го</w:t>
      </w:r>
      <w:r w:rsidRPr="002F2D50">
        <w:rPr>
          <w:sz w:val="24"/>
          <w:szCs w:val="24"/>
        </w:rPr>
        <w:t>, представленного в экономике города.</w:t>
      </w:r>
    </w:p>
    <w:p w:rsidR="00433834" w:rsidRPr="002F2D50" w:rsidRDefault="00433834" w:rsidP="00433834">
      <w:pPr>
        <w:spacing w:line="288" w:lineRule="auto"/>
        <w:ind w:firstLine="567"/>
        <w:jc w:val="both"/>
        <w:rPr>
          <w:rFonts w:eastAsia="+mn-ea"/>
          <w:color w:val="000000"/>
          <w:sz w:val="24"/>
          <w:szCs w:val="24"/>
        </w:rPr>
      </w:pPr>
      <w:r w:rsidRPr="002F2D50">
        <w:rPr>
          <w:rFonts w:eastAsia="+mn-ea"/>
          <w:color w:val="000000"/>
          <w:sz w:val="24"/>
          <w:szCs w:val="24"/>
        </w:rPr>
        <w:t>Лидирующие темпы роста (в 2018 году в % к 2017 году в действующих ценах)</w:t>
      </w:r>
      <w:r>
        <w:rPr>
          <w:rFonts w:eastAsia="+mn-ea"/>
          <w:color w:val="000000"/>
          <w:sz w:val="24"/>
          <w:szCs w:val="24"/>
        </w:rPr>
        <w:t xml:space="preserve"> отмечены</w:t>
      </w:r>
      <w:r w:rsidRPr="002F2D50">
        <w:rPr>
          <w:rFonts w:eastAsia="+mn-ea"/>
          <w:color w:val="000000"/>
          <w:sz w:val="24"/>
          <w:szCs w:val="24"/>
        </w:rPr>
        <w:t xml:space="preserve"> в производстве:</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мебели – 174,6%;</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электрического оборудования - 174,2%;</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прочих транспортных средств и оборудования -155,6%;</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машин и оборудования, не включенных в другие группировки - 142,7%;</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готовых металлических изделий - 134,1%;</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в металлургическом производстве - 125,6%;</w:t>
      </w:r>
    </w:p>
    <w:p w:rsidR="00433834" w:rsidRPr="00624F32" w:rsidRDefault="00433834" w:rsidP="00433834">
      <w:pPr>
        <w:pStyle w:val="af6"/>
        <w:numPr>
          <w:ilvl w:val="0"/>
          <w:numId w:val="45"/>
        </w:numPr>
        <w:spacing w:line="240" w:lineRule="auto"/>
        <w:ind w:left="1281" w:hanging="357"/>
        <w:jc w:val="both"/>
        <w:rPr>
          <w:rFonts w:ascii="Times New Roman" w:hAnsi="Times New Roman"/>
          <w:sz w:val="24"/>
          <w:szCs w:val="24"/>
        </w:rPr>
      </w:pPr>
      <w:r w:rsidRPr="00624F32">
        <w:rPr>
          <w:rFonts w:ascii="Times New Roman" w:hAnsi="Times New Roman"/>
          <w:sz w:val="24"/>
          <w:szCs w:val="24"/>
        </w:rPr>
        <w:t>автотранспортных средств, прицепов и полуприцепов - 117,5%.</w:t>
      </w:r>
    </w:p>
    <w:p w:rsidR="00433834" w:rsidRDefault="00433834" w:rsidP="00433834">
      <w:pPr>
        <w:spacing w:line="288" w:lineRule="auto"/>
        <w:ind w:firstLine="567"/>
        <w:jc w:val="both"/>
        <w:rPr>
          <w:sz w:val="24"/>
          <w:szCs w:val="24"/>
        </w:rPr>
      </w:pPr>
      <w:r w:rsidRPr="002F2D50">
        <w:rPr>
          <w:sz w:val="24"/>
          <w:szCs w:val="24"/>
        </w:rPr>
        <w:t>Наблюдаемая в течение трех лет динамика нарастания объемов производства</w:t>
      </w:r>
      <w:r w:rsidR="00C57AB3">
        <w:rPr>
          <w:sz w:val="24"/>
          <w:szCs w:val="24"/>
        </w:rPr>
        <w:t>,</w:t>
      </w:r>
      <w:r w:rsidRPr="002F2D50">
        <w:rPr>
          <w:sz w:val="24"/>
          <w:szCs w:val="24"/>
        </w:rPr>
        <w:t xml:space="preserve"> обеспечивается расширением рынка заказов </w:t>
      </w:r>
      <w:r>
        <w:rPr>
          <w:sz w:val="24"/>
          <w:szCs w:val="24"/>
        </w:rPr>
        <w:t xml:space="preserve">и сбыта промышленной продукции, </w:t>
      </w:r>
      <w:r w:rsidRPr="002F2D50">
        <w:rPr>
          <w:sz w:val="24"/>
          <w:szCs w:val="24"/>
        </w:rPr>
        <w:t>стабильной производственно-финансовой деятельностью хозяйствующих субъектов. В результате – растет индустриальный потенциал города.</w:t>
      </w:r>
    </w:p>
    <w:p w:rsidR="00433834" w:rsidRPr="00573CE0" w:rsidRDefault="00433834" w:rsidP="00433834">
      <w:pPr>
        <w:spacing w:line="312" w:lineRule="auto"/>
        <w:ind w:firstLine="567"/>
        <w:jc w:val="both"/>
      </w:pPr>
    </w:p>
    <w:p w:rsidR="00433834" w:rsidRPr="00A502EA" w:rsidRDefault="00433834" w:rsidP="00433834">
      <w:pPr>
        <w:jc w:val="center"/>
        <w:rPr>
          <w:b/>
          <w:i/>
          <w:sz w:val="24"/>
          <w:szCs w:val="28"/>
        </w:rPr>
      </w:pPr>
      <w:r w:rsidRPr="00A502EA">
        <w:rPr>
          <w:b/>
          <w:i/>
          <w:sz w:val="24"/>
          <w:szCs w:val="28"/>
        </w:rPr>
        <w:t xml:space="preserve">Динамика объемов и темпов роста отгруженных товаров </w:t>
      </w:r>
      <w:r w:rsidRPr="00A502EA">
        <w:rPr>
          <w:b/>
          <w:i/>
          <w:sz w:val="24"/>
          <w:szCs w:val="28"/>
        </w:rPr>
        <w:br/>
        <w:t>(работ и услуг) обрабатывающими производствами</w:t>
      </w:r>
      <w:r w:rsidRPr="00A502EA">
        <w:rPr>
          <w:i/>
          <w:sz w:val="22"/>
          <w:szCs w:val="28"/>
        </w:rPr>
        <w:t xml:space="preserve"> </w:t>
      </w:r>
    </w:p>
    <w:p w:rsidR="00433834" w:rsidRPr="00BE4A43" w:rsidRDefault="00433834" w:rsidP="00433834">
      <w:pPr>
        <w:spacing w:line="312" w:lineRule="auto"/>
        <w:jc w:val="center"/>
        <w:rPr>
          <w:color w:val="1F497D" w:themeColor="text2"/>
          <w:sz w:val="28"/>
          <w:szCs w:val="28"/>
        </w:rPr>
      </w:pPr>
      <w:r w:rsidRPr="00BE4A43">
        <w:rPr>
          <w:noProof/>
          <w:color w:val="1F497D" w:themeColor="text2"/>
        </w:rPr>
        <w:drawing>
          <wp:inline distT="0" distB="0" distL="0" distR="0" wp14:anchorId="78B11745" wp14:editId="3CD6A95B">
            <wp:extent cx="6339385" cy="3254991"/>
            <wp:effectExtent l="0" t="0" r="4445" b="0"/>
            <wp:docPr id="17"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59BF" w:rsidRDefault="00CE59BF" w:rsidP="00C57AB3">
      <w:pPr>
        <w:widowControl w:val="0"/>
        <w:spacing w:line="288" w:lineRule="auto"/>
        <w:jc w:val="both"/>
        <w:rPr>
          <w:sz w:val="24"/>
          <w:szCs w:val="24"/>
          <w:u w:val="single"/>
        </w:rPr>
      </w:pPr>
    </w:p>
    <w:p w:rsidR="00433834" w:rsidRDefault="00C57AB3" w:rsidP="00C57AB3">
      <w:pPr>
        <w:widowControl w:val="0"/>
        <w:spacing w:line="288" w:lineRule="auto"/>
        <w:jc w:val="both"/>
        <w:rPr>
          <w:sz w:val="24"/>
          <w:szCs w:val="24"/>
        </w:rPr>
      </w:pPr>
      <w:r w:rsidRPr="00A927B6">
        <w:rPr>
          <w:sz w:val="24"/>
          <w:szCs w:val="24"/>
          <w:u w:val="single"/>
        </w:rPr>
        <w:t>Оценка 2019 года и прогноз на 2020-2022 годы</w:t>
      </w:r>
      <w:r w:rsidRPr="00C57AB3">
        <w:rPr>
          <w:sz w:val="24"/>
          <w:szCs w:val="24"/>
        </w:rPr>
        <w:t>. З</w:t>
      </w:r>
      <w:r w:rsidR="00433834" w:rsidRPr="00C57AB3">
        <w:rPr>
          <w:rFonts w:eastAsia="Calibri"/>
          <w:sz w:val="24"/>
          <w:szCs w:val="24"/>
        </w:rPr>
        <w:t>а</w:t>
      </w:r>
      <w:r w:rsidR="00433834" w:rsidRPr="00607DDE">
        <w:rPr>
          <w:rFonts w:eastAsia="Calibri"/>
          <w:sz w:val="24"/>
          <w:szCs w:val="24"/>
        </w:rPr>
        <w:t xml:space="preserve"> январь-июль 2019 года </w:t>
      </w:r>
      <w:r w:rsidR="00433834" w:rsidRPr="00607DDE">
        <w:rPr>
          <w:sz w:val="24"/>
          <w:szCs w:val="24"/>
        </w:rPr>
        <w:t xml:space="preserve">крупные и средние предприятия города Твери отгрузили товаров собственного производства в объеме 95,9 млрд. рублей, что на 20,5% больше прошлогоднего периода в действующих ценах. На обрабатывающих предприятиях отгрузка товаров за </w:t>
      </w:r>
      <w:r w:rsidR="00433834" w:rsidRPr="00607DDE">
        <w:rPr>
          <w:rFonts w:eastAsia="Calibri"/>
          <w:sz w:val="24"/>
          <w:szCs w:val="24"/>
        </w:rPr>
        <w:t>это время увеличилась на 23,5%</w:t>
      </w:r>
      <w:r w:rsidR="00433834" w:rsidRPr="00607DDE">
        <w:rPr>
          <w:sz w:val="24"/>
          <w:szCs w:val="24"/>
        </w:rPr>
        <w:t xml:space="preserve"> до 82 млрд. рублей. </w:t>
      </w:r>
    </w:p>
    <w:p w:rsidR="00433834" w:rsidRDefault="00433834" w:rsidP="00433834">
      <w:pPr>
        <w:spacing w:line="288" w:lineRule="auto"/>
        <w:ind w:firstLine="709"/>
        <w:jc w:val="both"/>
        <w:textAlignment w:val="baseline"/>
        <w:rPr>
          <w:rFonts w:eastAsia="Calibri"/>
          <w:sz w:val="10"/>
          <w:szCs w:val="24"/>
        </w:rPr>
      </w:pPr>
    </w:p>
    <w:p w:rsidR="00773AE0" w:rsidRDefault="00773AE0" w:rsidP="00433834">
      <w:pPr>
        <w:spacing w:line="288" w:lineRule="auto"/>
        <w:ind w:firstLine="709"/>
        <w:jc w:val="both"/>
        <w:textAlignment w:val="baseline"/>
        <w:rPr>
          <w:rFonts w:eastAsia="Calibri"/>
          <w:sz w:val="10"/>
          <w:szCs w:val="24"/>
        </w:rPr>
      </w:pPr>
    </w:p>
    <w:p w:rsidR="00773AE0" w:rsidRDefault="00773AE0" w:rsidP="00433834">
      <w:pPr>
        <w:spacing w:line="288" w:lineRule="auto"/>
        <w:ind w:firstLine="709"/>
        <w:jc w:val="both"/>
        <w:textAlignment w:val="baseline"/>
        <w:rPr>
          <w:rFonts w:eastAsia="Calibri"/>
          <w:sz w:val="10"/>
          <w:szCs w:val="24"/>
        </w:rPr>
      </w:pPr>
    </w:p>
    <w:p w:rsidR="00773AE0" w:rsidRDefault="00773AE0" w:rsidP="00433834">
      <w:pPr>
        <w:spacing w:line="288" w:lineRule="auto"/>
        <w:ind w:firstLine="709"/>
        <w:jc w:val="both"/>
        <w:textAlignment w:val="baseline"/>
        <w:rPr>
          <w:rFonts w:eastAsia="Calibri"/>
          <w:sz w:val="10"/>
          <w:szCs w:val="24"/>
        </w:rPr>
      </w:pPr>
    </w:p>
    <w:p w:rsidR="00773AE0" w:rsidRDefault="00773AE0" w:rsidP="00433834">
      <w:pPr>
        <w:spacing w:line="288" w:lineRule="auto"/>
        <w:ind w:firstLine="709"/>
        <w:jc w:val="both"/>
        <w:textAlignment w:val="baseline"/>
        <w:rPr>
          <w:rFonts w:eastAsia="Calibri"/>
          <w:sz w:val="10"/>
          <w:szCs w:val="24"/>
        </w:rPr>
      </w:pPr>
    </w:p>
    <w:p w:rsidR="00773AE0" w:rsidRDefault="00773AE0" w:rsidP="00433834">
      <w:pPr>
        <w:spacing w:line="288" w:lineRule="auto"/>
        <w:ind w:firstLine="709"/>
        <w:jc w:val="both"/>
        <w:textAlignment w:val="baseline"/>
        <w:rPr>
          <w:rFonts w:eastAsia="Calibri"/>
          <w:sz w:val="10"/>
          <w:szCs w:val="24"/>
        </w:rPr>
      </w:pPr>
    </w:p>
    <w:p w:rsidR="00433834" w:rsidRPr="004C2D99" w:rsidRDefault="00433834" w:rsidP="00433834">
      <w:pPr>
        <w:jc w:val="center"/>
        <w:rPr>
          <w:b/>
          <w:i/>
          <w:sz w:val="24"/>
          <w:szCs w:val="28"/>
        </w:rPr>
      </w:pPr>
      <w:r w:rsidRPr="004C2D99">
        <w:rPr>
          <w:b/>
          <w:i/>
          <w:sz w:val="24"/>
          <w:szCs w:val="28"/>
        </w:rPr>
        <w:t xml:space="preserve">Динамика темпов роста объемов отгруженных товаров, выполненных работ </w:t>
      </w:r>
      <w:r w:rsidRPr="004C2D99">
        <w:rPr>
          <w:b/>
          <w:i/>
          <w:sz w:val="24"/>
          <w:szCs w:val="28"/>
        </w:rPr>
        <w:br/>
        <w:t>и услуг крупными и средними предприятиями города Твери в 2019 году</w:t>
      </w:r>
    </w:p>
    <w:p w:rsidR="00433834" w:rsidRPr="00261B21" w:rsidRDefault="00433834" w:rsidP="00433834">
      <w:pPr>
        <w:jc w:val="right"/>
        <w:rPr>
          <w:i/>
          <w:sz w:val="14"/>
          <w:szCs w:val="28"/>
        </w:rPr>
      </w:pPr>
    </w:p>
    <w:p w:rsidR="00433834" w:rsidRPr="004C2D99" w:rsidRDefault="00433834" w:rsidP="00433834">
      <w:pPr>
        <w:jc w:val="right"/>
        <w:rPr>
          <w:i/>
          <w:sz w:val="24"/>
          <w:szCs w:val="28"/>
        </w:rPr>
      </w:pPr>
      <w:r w:rsidRPr="004C2D99">
        <w:rPr>
          <w:i/>
          <w:sz w:val="24"/>
          <w:szCs w:val="28"/>
        </w:rPr>
        <w:t xml:space="preserve">нарастающим итогом, </w:t>
      </w:r>
      <w:proofErr w:type="gramStart"/>
      <w:r w:rsidRPr="004C2D99">
        <w:rPr>
          <w:i/>
          <w:sz w:val="24"/>
          <w:szCs w:val="28"/>
        </w:rPr>
        <w:t>в</w:t>
      </w:r>
      <w:proofErr w:type="gramEnd"/>
      <w:r w:rsidRPr="004C2D99">
        <w:rPr>
          <w:i/>
          <w:sz w:val="24"/>
          <w:szCs w:val="28"/>
        </w:rPr>
        <w:t xml:space="preserve"> % к соответствующему периоду прошлого года</w:t>
      </w:r>
    </w:p>
    <w:p w:rsidR="00433834" w:rsidRPr="00BE4A43" w:rsidRDefault="00433834" w:rsidP="00433834">
      <w:pPr>
        <w:spacing w:line="312" w:lineRule="auto"/>
        <w:jc w:val="center"/>
        <w:rPr>
          <w:color w:val="1F497D" w:themeColor="text2"/>
          <w:sz w:val="10"/>
          <w:szCs w:val="28"/>
        </w:rPr>
      </w:pPr>
    </w:p>
    <w:p w:rsidR="00433834" w:rsidRPr="00BE4A43" w:rsidRDefault="00433834" w:rsidP="00433834">
      <w:pPr>
        <w:spacing w:line="312" w:lineRule="auto"/>
        <w:ind w:right="-285"/>
        <w:jc w:val="both"/>
        <w:rPr>
          <w:color w:val="1F497D" w:themeColor="text2"/>
          <w:sz w:val="24"/>
          <w:szCs w:val="28"/>
        </w:rPr>
      </w:pPr>
      <w:r w:rsidRPr="00BE4A43">
        <w:rPr>
          <w:b/>
          <w:i/>
          <w:noProof/>
          <w:color w:val="1F497D" w:themeColor="text2"/>
        </w:rPr>
        <w:drawing>
          <wp:inline distT="0" distB="0" distL="0" distR="0" wp14:anchorId="725EE03F" wp14:editId="3CCDC207">
            <wp:extent cx="6297433" cy="1924216"/>
            <wp:effectExtent l="0" t="0" r="0" b="0"/>
            <wp:docPr id="23" name="Диаграмма 21"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af1"/>
        <w:tblW w:w="10207" w:type="dxa"/>
        <w:tblInd w:w="-34" w:type="dxa"/>
        <w:tblLook w:val="04A0" w:firstRow="1" w:lastRow="0" w:firstColumn="1" w:lastColumn="0" w:noHBand="0" w:noVBand="1"/>
      </w:tblPr>
      <w:tblGrid>
        <w:gridCol w:w="851"/>
        <w:gridCol w:w="567"/>
        <w:gridCol w:w="668"/>
        <w:gridCol w:w="1235"/>
        <w:gridCol w:w="1235"/>
        <w:gridCol w:w="973"/>
        <w:gridCol w:w="263"/>
        <w:gridCol w:w="1235"/>
        <w:gridCol w:w="1235"/>
        <w:gridCol w:w="527"/>
        <w:gridCol w:w="709"/>
        <w:gridCol w:w="709"/>
      </w:tblGrid>
      <w:tr w:rsidR="00433834" w:rsidRPr="00261B21" w:rsidTr="006B2DDA">
        <w:trPr>
          <w:gridBefore w:val="1"/>
          <w:gridAfter w:val="1"/>
          <w:wBefore w:w="851" w:type="dxa"/>
          <w:wAfter w:w="709" w:type="dxa"/>
          <w:trHeight w:val="514"/>
        </w:trPr>
        <w:tc>
          <w:tcPr>
            <w:tcW w:w="8647" w:type="dxa"/>
            <w:gridSpan w:val="10"/>
            <w:tcBorders>
              <w:bottom w:val="single" w:sz="4" w:space="0" w:color="auto"/>
            </w:tcBorders>
          </w:tcPr>
          <w:p w:rsidR="00433834" w:rsidRDefault="00433834" w:rsidP="006B2DDA">
            <w:pPr>
              <w:widowControl w:val="0"/>
              <w:jc w:val="center"/>
              <w:rPr>
                <w:b/>
                <w:i/>
                <w:szCs w:val="22"/>
              </w:rPr>
            </w:pPr>
            <w:proofErr w:type="spellStart"/>
            <w:r w:rsidRPr="00261B21">
              <w:rPr>
                <w:rFonts w:eastAsia="Calibri"/>
                <w:b/>
                <w:i/>
                <w:szCs w:val="22"/>
              </w:rPr>
              <w:t>Справочно</w:t>
            </w:r>
            <w:proofErr w:type="spellEnd"/>
            <w:r w:rsidRPr="00261B21">
              <w:rPr>
                <w:rFonts w:eastAsia="Calibri"/>
                <w:b/>
                <w:i/>
                <w:szCs w:val="22"/>
              </w:rPr>
              <w:t>: темпы роста объемов отгруженных товаров,</w:t>
            </w:r>
            <w:r w:rsidRPr="00261B21">
              <w:rPr>
                <w:szCs w:val="22"/>
              </w:rPr>
              <w:t xml:space="preserve"> </w:t>
            </w:r>
            <w:r w:rsidRPr="00261B21">
              <w:rPr>
                <w:rFonts w:eastAsia="Calibri"/>
                <w:b/>
                <w:i/>
                <w:szCs w:val="22"/>
              </w:rPr>
              <w:t>выполненных работ и услуг</w:t>
            </w:r>
            <w:r w:rsidRPr="00261B21">
              <w:rPr>
                <w:b/>
                <w:i/>
                <w:szCs w:val="22"/>
              </w:rPr>
              <w:t xml:space="preserve"> </w:t>
            </w:r>
          </w:p>
          <w:p w:rsidR="00433834" w:rsidRPr="00261B21" w:rsidRDefault="00433834" w:rsidP="006B2DDA">
            <w:pPr>
              <w:widowControl w:val="0"/>
              <w:jc w:val="center"/>
              <w:rPr>
                <w:rFonts w:eastAsia="Calibri"/>
                <w:b/>
                <w:i/>
                <w:szCs w:val="22"/>
              </w:rPr>
            </w:pPr>
            <w:r w:rsidRPr="00261B21">
              <w:rPr>
                <w:b/>
                <w:i/>
                <w:szCs w:val="22"/>
              </w:rPr>
              <w:t>в 2018 году,%</w:t>
            </w:r>
          </w:p>
        </w:tc>
      </w:tr>
      <w:tr w:rsidR="00433834" w:rsidRPr="00BE4A43" w:rsidTr="00CE59BF">
        <w:trPr>
          <w:gridBefore w:val="1"/>
          <w:gridAfter w:val="1"/>
          <w:wBefore w:w="851" w:type="dxa"/>
          <w:wAfter w:w="709" w:type="dxa"/>
          <w:trHeight w:val="279"/>
        </w:trPr>
        <w:tc>
          <w:tcPr>
            <w:tcW w:w="1235" w:type="dxa"/>
            <w:gridSpan w:val="2"/>
            <w:tcBorders>
              <w:bottom w:val="single" w:sz="4" w:space="0" w:color="auto"/>
            </w:tcBorders>
            <w:vAlign w:val="center"/>
          </w:tcPr>
          <w:p w:rsidR="00433834" w:rsidRPr="002934CB" w:rsidRDefault="00433834" w:rsidP="006B2DDA">
            <w:pPr>
              <w:widowControl w:val="0"/>
              <w:spacing w:line="216" w:lineRule="auto"/>
              <w:jc w:val="center"/>
              <w:rPr>
                <w:rFonts w:eastAsia="Calibri"/>
                <w:sz w:val="18"/>
                <w:szCs w:val="18"/>
              </w:rPr>
            </w:pPr>
            <w:r w:rsidRPr="002934CB">
              <w:rPr>
                <w:rFonts w:eastAsia="Calibri"/>
                <w:sz w:val="18"/>
                <w:szCs w:val="18"/>
              </w:rPr>
              <w:t>январь</w:t>
            </w:r>
          </w:p>
        </w:tc>
        <w:tc>
          <w:tcPr>
            <w:tcW w:w="1235" w:type="dxa"/>
            <w:tcBorders>
              <w:bottom w:val="single" w:sz="4" w:space="0" w:color="auto"/>
            </w:tcBorders>
            <w:vAlign w:val="center"/>
          </w:tcPr>
          <w:p w:rsidR="00433834" w:rsidRPr="002934CB" w:rsidRDefault="00433834" w:rsidP="006B2DDA">
            <w:pPr>
              <w:widowControl w:val="0"/>
              <w:spacing w:line="216" w:lineRule="auto"/>
              <w:ind w:left="-108" w:right="-48"/>
              <w:jc w:val="center"/>
              <w:rPr>
                <w:rFonts w:eastAsia="Calibri"/>
                <w:sz w:val="18"/>
                <w:szCs w:val="18"/>
              </w:rPr>
            </w:pPr>
            <w:r w:rsidRPr="002934CB">
              <w:rPr>
                <w:rFonts w:eastAsia="Calibri"/>
                <w:sz w:val="18"/>
                <w:szCs w:val="18"/>
              </w:rPr>
              <w:t>январь-февраль</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январь-март</w:t>
            </w:r>
          </w:p>
        </w:tc>
        <w:tc>
          <w:tcPr>
            <w:tcW w:w="1236" w:type="dxa"/>
            <w:gridSpan w:val="2"/>
            <w:tcBorders>
              <w:bottom w:val="single" w:sz="4" w:space="0" w:color="auto"/>
            </w:tcBorders>
            <w:vAlign w:val="center"/>
          </w:tcPr>
          <w:p w:rsidR="00433834" w:rsidRPr="00CE59BF" w:rsidRDefault="00433834" w:rsidP="006B2DDA">
            <w:pPr>
              <w:spacing w:line="216" w:lineRule="auto"/>
              <w:ind w:right="-128"/>
              <w:jc w:val="center"/>
              <w:rPr>
                <w:sz w:val="17"/>
                <w:szCs w:val="17"/>
              </w:rPr>
            </w:pPr>
            <w:r w:rsidRPr="00CE59BF">
              <w:rPr>
                <w:sz w:val="17"/>
                <w:szCs w:val="17"/>
              </w:rPr>
              <w:t>январь-апрель</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январь-май</w:t>
            </w:r>
          </w:p>
        </w:tc>
        <w:tc>
          <w:tcPr>
            <w:tcW w:w="1235" w:type="dxa"/>
            <w:tcBorders>
              <w:bottom w:val="single" w:sz="4" w:space="0" w:color="auto"/>
            </w:tcBorders>
            <w:vAlign w:val="center"/>
          </w:tcPr>
          <w:p w:rsidR="00433834" w:rsidRPr="002934CB" w:rsidRDefault="00433834" w:rsidP="006B2DDA">
            <w:pPr>
              <w:spacing w:line="216" w:lineRule="auto"/>
              <w:jc w:val="center"/>
              <w:rPr>
                <w:sz w:val="18"/>
                <w:szCs w:val="18"/>
              </w:rPr>
            </w:pPr>
            <w:r w:rsidRPr="002934CB">
              <w:rPr>
                <w:sz w:val="18"/>
                <w:szCs w:val="18"/>
              </w:rPr>
              <w:t>январь-июнь</w:t>
            </w:r>
          </w:p>
        </w:tc>
        <w:tc>
          <w:tcPr>
            <w:tcW w:w="1236" w:type="dxa"/>
            <w:gridSpan w:val="2"/>
            <w:tcBorders>
              <w:bottom w:val="single" w:sz="4" w:space="0" w:color="auto"/>
            </w:tcBorders>
            <w:vAlign w:val="center"/>
          </w:tcPr>
          <w:p w:rsidR="00433834" w:rsidRPr="002934CB" w:rsidRDefault="00433834" w:rsidP="006B2DDA">
            <w:pPr>
              <w:widowControl w:val="0"/>
              <w:spacing w:line="216" w:lineRule="auto"/>
              <w:jc w:val="center"/>
              <w:rPr>
                <w:rFonts w:eastAsia="Calibri"/>
                <w:sz w:val="18"/>
                <w:szCs w:val="18"/>
              </w:rPr>
            </w:pPr>
            <w:r w:rsidRPr="002934CB">
              <w:rPr>
                <w:rFonts w:eastAsia="Calibri"/>
                <w:sz w:val="18"/>
                <w:szCs w:val="18"/>
              </w:rPr>
              <w:t>январь-июль</w:t>
            </w:r>
          </w:p>
        </w:tc>
      </w:tr>
      <w:tr w:rsidR="00433834" w:rsidRPr="00BE4A43" w:rsidTr="00CE59BF">
        <w:trPr>
          <w:gridBefore w:val="1"/>
          <w:gridAfter w:val="1"/>
          <w:wBefore w:w="851" w:type="dxa"/>
          <w:wAfter w:w="709" w:type="dxa"/>
          <w:trHeight w:val="211"/>
        </w:trPr>
        <w:tc>
          <w:tcPr>
            <w:tcW w:w="1235"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115,2</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107,0</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103,4</w:t>
            </w:r>
          </w:p>
        </w:tc>
        <w:tc>
          <w:tcPr>
            <w:tcW w:w="1236"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106,3</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123,0</w:t>
            </w:r>
          </w:p>
        </w:tc>
        <w:tc>
          <w:tcPr>
            <w:tcW w:w="1235" w:type="dxa"/>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121,0</w:t>
            </w:r>
          </w:p>
        </w:tc>
        <w:tc>
          <w:tcPr>
            <w:tcW w:w="1236" w:type="dxa"/>
            <w:gridSpan w:val="2"/>
            <w:shd w:val="clear" w:color="auto" w:fill="DBE5F1" w:themeFill="accent1" w:themeFillTint="33"/>
          </w:tcPr>
          <w:p w:rsidR="00433834" w:rsidRPr="00261B21" w:rsidRDefault="00433834" w:rsidP="006B2DDA">
            <w:pPr>
              <w:widowControl w:val="0"/>
              <w:jc w:val="center"/>
              <w:rPr>
                <w:rFonts w:eastAsia="Calibri"/>
                <w:b/>
                <w:sz w:val="24"/>
                <w:szCs w:val="26"/>
              </w:rPr>
            </w:pPr>
            <w:r w:rsidRPr="00261B21">
              <w:rPr>
                <w:rFonts w:eastAsia="Calibri"/>
                <w:b/>
                <w:sz w:val="24"/>
                <w:szCs w:val="26"/>
              </w:rPr>
              <w:t>120,8</w:t>
            </w:r>
          </w:p>
        </w:tc>
      </w:tr>
      <w:tr w:rsidR="00433834" w:rsidRPr="00607DDE" w:rsidTr="006B2DDA">
        <w:tc>
          <w:tcPr>
            <w:tcW w:w="10207" w:type="dxa"/>
            <w:gridSpan w:val="12"/>
            <w:tcBorders>
              <w:top w:val="nil"/>
              <w:left w:val="nil"/>
              <w:bottom w:val="nil"/>
              <w:right w:val="nil"/>
            </w:tcBorders>
            <w:hideMark/>
          </w:tcPr>
          <w:p w:rsidR="00433834" w:rsidRDefault="00433834" w:rsidP="006B2DDA">
            <w:pPr>
              <w:ind w:firstLine="743"/>
              <w:jc w:val="both"/>
              <w:rPr>
                <w:sz w:val="24"/>
                <w:szCs w:val="24"/>
              </w:rPr>
            </w:pPr>
          </w:p>
          <w:p w:rsidR="00433834" w:rsidRPr="00607DDE" w:rsidRDefault="00433834" w:rsidP="006B2DDA">
            <w:pPr>
              <w:spacing w:line="288" w:lineRule="auto"/>
              <w:ind w:firstLine="743"/>
              <w:jc w:val="both"/>
              <w:rPr>
                <w:sz w:val="24"/>
                <w:szCs w:val="24"/>
              </w:rPr>
            </w:pPr>
            <w:r w:rsidRPr="00607DDE">
              <w:rPr>
                <w:sz w:val="24"/>
                <w:szCs w:val="24"/>
              </w:rPr>
              <w:t>Повышение объемов отгрузки было обеспечено по 15-ти видам экономической деятельности (из 21-</w:t>
            </w:r>
            <w:r w:rsidRPr="00607DDE">
              <w:rPr>
                <w:i/>
                <w:sz w:val="24"/>
                <w:szCs w:val="24"/>
              </w:rPr>
              <w:t>го</w:t>
            </w:r>
            <w:r w:rsidRPr="00607DDE">
              <w:rPr>
                <w:sz w:val="24"/>
                <w:szCs w:val="24"/>
              </w:rPr>
              <w:t>, представленного в экономике города).</w:t>
            </w:r>
          </w:p>
          <w:p w:rsidR="00433834" w:rsidRPr="00607DDE" w:rsidRDefault="00433834" w:rsidP="006B2DDA">
            <w:pPr>
              <w:spacing w:line="288" w:lineRule="auto"/>
              <w:ind w:firstLine="743"/>
              <w:jc w:val="both"/>
              <w:rPr>
                <w:sz w:val="24"/>
                <w:szCs w:val="24"/>
              </w:rPr>
            </w:pPr>
            <w:r w:rsidRPr="00607DDE">
              <w:rPr>
                <w:sz w:val="24"/>
                <w:szCs w:val="24"/>
              </w:rPr>
              <w:t xml:space="preserve">Динамика промышленного производства остается неоднородной, об этом свидетельствуют темпы роста/снижения отгрузки по отдельным видам деятельности обрабатывающих предприятий за январь-июль 2019 года:   </w:t>
            </w:r>
          </w:p>
          <w:p w:rsidR="00433834" w:rsidRPr="00607DDE" w:rsidRDefault="00433834" w:rsidP="006B2DDA">
            <w:pPr>
              <w:jc w:val="center"/>
              <w:rPr>
                <w:i/>
                <w:sz w:val="24"/>
                <w:szCs w:val="24"/>
              </w:rPr>
            </w:pPr>
          </w:p>
          <w:p w:rsidR="00433834" w:rsidRPr="00607DDE" w:rsidRDefault="00433834" w:rsidP="006B2DDA">
            <w:pPr>
              <w:jc w:val="center"/>
              <w:rPr>
                <w:i/>
                <w:sz w:val="24"/>
                <w:szCs w:val="24"/>
              </w:rPr>
            </w:pPr>
            <w:r w:rsidRPr="00607DDE">
              <w:rPr>
                <w:i/>
                <w:sz w:val="24"/>
                <w:szCs w:val="24"/>
              </w:rPr>
              <w:t xml:space="preserve">Максимальные темпы роста (снижения) промышленного производства </w:t>
            </w:r>
            <w:r w:rsidRPr="00607DDE">
              <w:rPr>
                <w:i/>
                <w:sz w:val="24"/>
                <w:szCs w:val="24"/>
              </w:rPr>
              <w:br/>
              <w:t>в январе-июле 2019 года в городе Твери</w:t>
            </w:r>
          </w:p>
          <w:p w:rsidR="00433834" w:rsidRPr="00607DDE" w:rsidRDefault="00433834" w:rsidP="006B2DDA">
            <w:pPr>
              <w:jc w:val="right"/>
              <w:rPr>
                <w:i/>
                <w:sz w:val="24"/>
                <w:szCs w:val="24"/>
              </w:rPr>
            </w:pPr>
            <w:proofErr w:type="gramStart"/>
            <w:r w:rsidRPr="00607DDE">
              <w:rPr>
                <w:i/>
                <w:sz w:val="24"/>
                <w:szCs w:val="24"/>
              </w:rPr>
              <w:t>в</w:t>
            </w:r>
            <w:proofErr w:type="gramEnd"/>
            <w:r w:rsidRPr="00607DDE">
              <w:rPr>
                <w:i/>
                <w:sz w:val="24"/>
                <w:szCs w:val="24"/>
              </w:rPr>
              <w:t xml:space="preserve"> % к прошлогоднему периоду </w:t>
            </w:r>
          </w:p>
        </w:tc>
      </w:tr>
      <w:tr w:rsidR="00433834" w:rsidRPr="000022E9" w:rsidTr="006B2DDA">
        <w:trPr>
          <w:trHeight w:val="610"/>
        </w:trPr>
        <w:tc>
          <w:tcPr>
            <w:tcW w:w="1418" w:type="dxa"/>
            <w:gridSpan w:val="2"/>
            <w:tcBorders>
              <w:top w:val="single" w:sz="4" w:space="0" w:color="auto"/>
              <w:left w:val="nil"/>
              <w:bottom w:val="single" w:sz="4" w:space="0" w:color="auto"/>
              <w:right w:val="nil"/>
            </w:tcBorders>
            <w:hideMark/>
          </w:tcPr>
          <w:p w:rsidR="00433834" w:rsidRPr="0069640B" w:rsidRDefault="00433834" w:rsidP="006B2DDA">
            <w:pPr>
              <w:spacing w:line="204" w:lineRule="auto"/>
              <w:jc w:val="both"/>
              <w:rPr>
                <w:sz w:val="24"/>
                <w:szCs w:val="28"/>
              </w:rPr>
            </w:pPr>
            <w:r w:rsidRPr="00BE4A43">
              <w:rPr>
                <w:rFonts w:ascii="Arial" w:hAnsi="Arial" w:cs="Arial"/>
                <w:noProof/>
                <w:color w:val="1F497D" w:themeColor="text2"/>
                <w:sz w:val="24"/>
                <w:szCs w:val="24"/>
              </w:rPr>
              <w:drawing>
                <wp:inline distT="0" distB="0" distL="0" distR="0" wp14:anchorId="6CF47732" wp14:editId="798DA954">
                  <wp:extent cx="592243" cy="351237"/>
                  <wp:effectExtent l="0" t="0" r="0" b="0"/>
                  <wp:docPr id="24" name="Рисунок 16" descr="https://im0-tub-ru.yandex.net/i?id=3c3c0b607c8579fecaa5b3f3974e036b&amp;n=33&amp;h=190&amp;w=19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im0-tub-ru.yandex.net/i?id=3c3c0b607c8579fecaa5b3f3974e036b&amp;n=33&amp;h=190&amp;w=190">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31" cy="353127"/>
                          </a:xfrm>
                          <a:prstGeom prst="rect">
                            <a:avLst/>
                          </a:prstGeom>
                          <a:noFill/>
                          <a:ln>
                            <a:noFill/>
                          </a:ln>
                        </pic:spPr>
                      </pic:pic>
                    </a:graphicData>
                  </a:graphic>
                </wp:inline>
              </w:drawing>
            </w:r>
          </w:p>
        </w:tc>
        <w:tc>
          <w:tcPr>
            <w:tcW w:w="4111" w:type="dxa"/>
            <w:gridSpan w:val="4"/>
            <w:tcBorders>
              <w:top w:val="single" w:sz="4" w:space="0" w:color="auto"/>
              <w:left w:val="nil"/>
              <w:bottom w:val="single" w:sz="4" w:space="0" w:color="auto"/>
              <w:right w:val="single" w:sz="4" w:space="0" w:color="auto"/>
            </w:tcBorders>
            <w:vAlign w:val="center"/>
          </w:tcPr>
          <w:p w:rsidR="00433834" w:rsidRPr="0069640B" w:rsidRDefault="00433834" w:rsidP="006B2DDA">
            <w:pPr>
              <w:spacing w:line="204" w:lineRule="auto"/>
              <w:jc w:val="center"/>
              <w:rPr>
                <w:i/>
                <w:sz w:val="30"/>
                <w:szCs w:val="30"/>
                <w14:shadow w14:blurRad="50800" w14:dist="38100" w14:dir="13500000" w14:sx="100000" w14:sy="100000" w14:kx="0" w14:ky="0" w14:algn="br">
                  <w14:srgbClr w14:val="000000">
                    <w14:alpha w14:val="60000"/>
                  </w14:srgbClr>
                </w14:shadow>
              </w:rPr>
            </w:pPr>
            <w:r w:rsidRPr="0069640B">
              <w:rPr>
                <w:i/>
                <w:sz w:val="24"/>
                <w:szCs w:val="30"/>
                <w14:shadow w14:blurRad="50800" w14:dist="38100" w14:dir="13500000" w14:sx="100000" w14:sy="100000" w14:kx="0" w14:ky="0" w14:algn="br">
                  <w14:srgbClr w14:val="000000">
                    <w14:alpha w14:val="60000"/>
                  </w14:srgbClr>
                </w14:shadow>
              </w:rPr>
              <w:t>Рост  производства</w:t>
            </w:r>
          </w:p>
        </w:tc>
        <w:tc>
          <w:tcPr>
            <w:tcW w:w="3260" w:type="dxa"/>
            <w:gridSpan w:val="4"/>
            <w:tcBorders>
              <w:top w:val="single" w:sz="4" w:space="0" w:color="auto"/>
              <w:left w:val="single" w:sz="4" w:space="0" w:color="auto"/>
              <w:bottom w:val="single" w:sz="4" w:space="0" w:color="auto"/>
              <w:right w:val="nil"/>
            </w:tcBorders>
            <w:vAlign w:val="center"/>
          </w:tcPr>
          <w:p w:rsidR="00433834" w:rsidRPr="0069640B" w:rsidRDefault="00433834" w:rsidP="006B2DDA">
            <w:pPr>
              <w:spacing w:line="204" w:lineRule="auto"/>
              <w:jc w:val="center"/>
              <w:rPr>
                <w:i/>
                <w:sz w:val="24"/>
                <w:szCs w:val="30"/>
                <w14:shadow w14:blurRad="50800" w14:dist="38100" w14:dir="13500000" w14:sx="100000" w14:sy="100000" w14:kx="0" w14:ky="0" w14:algn="br">
                  <w14:srgbClr w14:val="000000">
                    <w14:alpha w14:val="60000"/>
                  </w14:srgbClr>
                </w14:shadow>
              </w:rPr>
            </w:pPr>
            <w:r w:rsidRPr="0069640B">
              <w:rPr>
                <w:i/>
                <w:sz w:val="24"/>
                <w:szCs w:val="30"/>
                <w14:shadow w14:blurRad="50800" w14:dist="38100" w14:dir="13500000" w14:sx="100000" w14:sy="100000" w14:kx="0" w14:ky="0" w14:algn="br">
                  <w14:srgbClr w14:val="000000">
                    <w14:alpha w14:val="60000"/>
                  </w14:srgbClr>
                </w14:shadow>
              </w:rPr>
              <w:t>Снижение производства</w:t>
            </w:r>
          </w:p>
        </w:tc>
        <w:tc>
          <w:tcPr>
            <w:tcW w:w="1418" w:type="dxa"/>
            <w:gridSpan w:val="2"/>
            <w:tcBorders>
              <w:top w:val="single" w:sz="4" w:space="0" w:color="auto"/>
              <w:left w:val="nil"/>
              <w:bottom w:val="single" w:sz="4" w:space="0" w:color="auto"/>
              <w:right w:val="nil"/>
            </w:tcBorders>
            <w:hideMark/>
          </w:tcPr>
          <w:p w:rsidR="00433834" w:rsidRPr="0069640B" w:rsidRDefault="00433834" w:rsidP="006B2DDA">
            <w:pPr>
              <w:spacing w:line="204" w:lineRule="auto"/>
              <w:jc w:val="right"/>
              <w:rPr>
                <w:sz w:val="24"/>
                <w:szCs w:val="28"/>
              </w:rPr>
            </w:pPr>
            <w:r w:rsidRPr="00BE4A43">
              <w:rPr>
                <w:rFonts w:ascii="Arial" w:hAnsi="Arial" w:cs="Arial"/>
                <w:noProof/>
                <w:color w:val="1F497D" w:themeColor="text2"/>
                <w:sz w:val="24"/>
                <w:szCs w:val="24"/>
              </w:rPr>
              <w:drawing>
                <wp:inline distT="0" distB="0" distL="0" distR="0" wp14:anchorId="4AA5F892" wp14:editId="5C3DD905">
                  <wp:extent cx="612317" cy="365760"/>
                  <wp:effectExtent l="0" t="0" r="0" b="0"/>
                  <wp:docPr id="31" name="Рисунок 17" descr="https://im0-tub-ru.yandex.net/i?id=d5f393f3a3513f5b367f4d2f547e010b&amp;n=33&amp;h=190&amp;w=25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im0-tub-ru.yandex.net/i?id=d5f393f3a3513f5b367f4d2f547e010b&amp;n=33&amp;h=190&amp;w=25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391" cy="365804"/>
                          </a:xfrm>
                          <a:prstGeom prst="rect">
                            <a:avLst/>
                          </a:prstGeom>
                          <a:noFill/>
                          <a:ln>
                            <a:noFill/>
                          </a:ln>
                        </pic:spPr>
                      </pic:pic>
                    </a:graphicData>
                  </a:graphic>
                </wp:inline>
              </w:drawing>
            </w:r>
          </w:p>
        </w:tc>
      </w:tr>
      <w:tr w:rsidR="00433834" w:rsidRPr="000022E9" w:rsidTr="006B2DDA">
        <w:trPr>
          <w:trHeight w:val="357"/>
        </w:trPr>
        <w:tc>
          <w:tcPr>
            <w:tcW w:w="5529" w:type="dxa"/>
            <w:gridSpan w:val="6"/>
            <w:tcBorders>
              <w:top w:val="single" w:sz="4" w:space="0" w:color="auto"/>
              <w:left w:val="nil"/>
              <w:bottom w:val="single" w:sz="4" w:space="0" w:color="auto"/>
              <w:right w:val="single" w:sz="4" w:space="0" w:color="auto"/>
            </w:tcBorders>
          </w:tcPr>
          <w:p w:rsidR="00433834" w:rsidRPr="00CF0206" w:rsidRDefault="00433834" w:rsidP="006B2DDA">
            <w:pPr>
              <w:spacing w:line="204" w:lineRule="auto"/>
              <w:rPr>
                <w:b/>
                <w:sz w:val="22"/>
                <w:szCs w:val="22"/>
              </w:rPr>
            </w:pPr>
            <w:r w:rsidRPr="00CF0206">
              <w:rPr>
                <w:b/>
                <w:sz w:val="22"/>
                <w:szCs w:val="22"/>
              </w:rPr>
              <w:t>ремонт и монтаж машин и оборудования (187,2%)</w:t>
            </w:r>
          </w:p>
          <w:p w:rsidR="00433834" w:rsidRPr="00DA32BA" w:rsidRDefault="00433834" w:rsidP="006B2DDA">
            <w:pPr>
              <w:spacing w:line="204" w:lineRule="auto"/>
              <w:rPr>
                <w:sz w:val="22"/>
                <w:szCs w:val="22"/>
              </w:rPr>
            </w:pPr>
            <w:proofErr w:type="gramStart"/>
            <w:r w:rsidRPr="00CF0206">
              <w:rPr>
                <w:sz w:val="22"/>
                <w:szCs w:val="22"/>
              </w:rPr>
              <w:t>Т</w:t>
            </w:r>
            <w:r>
              <w:rPr>
                <w:sz w:val="22"/>
                <w:szCs w:val="22"/>
              </w:rPr>
              <w:t>ОСП Тверское подразделение ООО «</w:t>
            </w:r>
            <w:proofErr w:type="spellStart"/>
            <w:r w:rsidRPr="00CF0206">
              <w:rPr>
                <w:sz w:val="22"/>
                <w:szCs w:val="22"/>
              </w:rPr>
              <w:t>Эконива</w:t>
            </w:r>
            <w:proofErr w:type="spellEnd"/>
            <w:r w:rsidRPr="00CF0206">
              <w:rPr>
                <w:sz w:val="22"/>
                <w:szCs w:val="22"/>
              </w:rPr>
              <w:t>-техника</w:t>
            </w:r>
            <w:r>
              <w:rPr>
                <w:sz w:val="22"/>
                <w:szCs w:val="22"/>
              </w:rPr>
              <w:t>»</w:t>
            </w:r>
            <w:r w:rsidRPr="00CF0206">
              <w:rPr>
                <w:sz w:val="22"/>
                <w:szCs w:val="22"/>
              </w:rPr>
              <w:t xml:space="preserve">, АО </w:t>
            </w:r>
            <w:r>
              <w:rPr>
                <w:sz w:val="22"/>
                <w:szCs w:val="22"/>
              </w:rPr>
              <w:t>«</w:t>
            </w:r>
            <w:r w:rsidRPr="00CF0206">
              <w:rPr>
                <w:sz w:val="22"/>
                <w:szCs w:val="22"/>
              </w:rPr>
              <w:t>2462 ЦБПР</w:t>
            </w:r>
            <w:r>
              <w:rPr>
                <w:sz w:val="22"/>
                <w:szCs w:val="22"/>
              </w:rPr>
              <w:t>»</w:t>
            </w:r>
            <w:r w:rsidRPr="00CF0206">
              <w:rPr>
                <w:sz w:val="22"/>
                <w:szCs w:val="22"/>
              </w:rPr>
              <w:t xml:space="preserve">, ТОСП ООО </w:t>
            </w:r>
            <w:r>
              <w:rPr>
                <w:sz w:val="22"/>
                <w:szCs w:val="22"/>
              </w:rPr>
              <w:t>«</w:t>
            </w:r>
            <w:proofErr w:type="spellStart"/>
            <w:r w:rsidRPr="00CF0206">
              <w:rPr>
                <w:sz w:val="22"/>
                <w:szCs w:val="22"/>
              </w:rPr>
              <w:t>Норгау</w:t>
            </w:r>
            <w:proofErr w:type="spellEnd"/>
            <w:r w:rsidRPr="00CF0206">
              <w:rPr>
                <w:sz w:val="22"/>
                <w:szCs w:val="22"/>
              </w:rPr>
              <w:t xml:space="preserve"> </w:t>
            </w:r>
            <w:proofErr w:type="spellStart"/>
            <w:r w:rsidRPr="00CF0206">
              <w:rPr>
                <w:sz w:val="22"/>
                <w:szCs w:val="22"/>
              </w:rPr>
              <w:t>Руссланд</w:t>
            </w:r>
            <w:proofErr w:type="spellEnd"/>
            <w:r>
              <w:rPr>
                <w:sz w:val="22"/>
                <w:szCs w:val="22"/>
              </w:rPr>
              <w:t>»</w:t>
            </w:r>
            <w:r w:rsidRPr="00CF0206">
              <w:rPr>
                <w:sz w:val="22"/>
                <w:szCs w:val="22"/>
              </w:rPr>
              <w:t xml:space="preserve"> г. Тверь, ТОСП участок Тверь ООО </w:t>
            </w:r>
            <w:r>
              <w:rPr>
                <w:sz w:val="22"/>
                <w:szCs w:val="22"/>
              </w:rPr>
              <w:t>«</w:t>
            </w:r>
            <w:proofErr w:type="spellStart"/>
            <w:r w:rsidRPr="00CF0206">
              <w:rPr>
                <w:sz w:val="22"/>
                <w:szCs w:val="22"/>
              </w:rPr>
              <w:t>Мелстон</w:t>
            </w:r>
            <w:proofErr w:type="spellEnd"/>
            <w:r w:rsidRPr="00CF0206">
              <w:rPr>
                <w:sz w:val="22"/>
                <w:szCs w:val="22"/>
              </w:rPr>
              <w:t>-Сервис</w:t>
            </w:r>
            <w:r>
              <w:rPr>
                <w:sz w:val="22"/>
                <w:szCs w:val="22"/>
              </w:rPr>
              <w:t>»</w:t>
            </w:r>
            <w:r w:rsidRPr="00CF0206">
              <w:rPr>
                <w:sz w:val="22"/>
                <w:szCs w:val="22"/>
              </w:rPr>
              <w:t xml:space="preserve"> г. Тверь, филиал ООО </w:t>
            </w:r>
            <w:r>
              <w:rPr>
                <w:sz w:val="22"/>
                <w:szCs w:val="22"/>
              </w:rPr>
              <w:t>«</w:t>
            </w:r>
            <w:r w:rsidRPr="00CF0206">
              <w:rPr>
                <w:sz w:val="22"/>
                <w:szCs w:val="22"/>
              </w:rPr>
              <w:t>Корпорация ИМС</w:t>
            </w:r>
            <w:r>
              <w:rPr>
                <w:sz w:val="22"/>
                <w:szCs w:val="22"/>
              </w:rPr>
              <w:t>»</w:t>
            </w:r>
            <w:r w:rsidRPr="00CF0206">
              <w:rPr>
                <w:sz w:val="22"/>
                <w:szCs w:val="22"/>
              </w:rPr>
              <w:t xml:space="preserve"> в г. Тверь </w:t>
            </w:r>
            <w:r>
              <w:rPr>
                <w:sz w:val="22"/>
                <w:szCs w:val="22"/>
              </w:rPr>
              <w:t>«</w:t>
            </w:r>
            <w:r w:rsidRPr="00CF0206">
              <w:rPr>
                <w:sz w:val="22"/>
                <w:szCs w:val="22"/>
              </w:rPr>
              <w:t>ИМС-Тверь</w:t>
            </w:r>
            <w:r>
              <w:rPr>
                <w:sz w:val="22"/>
                <w:szCs w:val="22"/>
              </w:rPr>
              <w:t>»</w:t>
            </w:r>
            <w:r w:rsidRPr="00CF0206">
              <w:rPr>
                <w:sz w:val="22"/>
                <w:szCs w:val="22"/>
              </w:rPr>
              <w:t xml:space="preserve">, ООО </w:t>
            </w:r>
            <w:r>
              <w:rPr>
                <w:sz w:val="22"/>
                <w:szCs w:val="22"/>
              </w:rPr>
              <w:t>«</w:t>
            </w:r>
            <w:r w:rsidRPr="00CF0206">
              <w:rPr>
                <w:sz w:val="22"/>
                <w:szCs w:val="22"/>
              </w:rPr>
              <w:t>Опора</w:t>
            </w:r>
            <w:r>
              <w:rPr>
                <w:sz w:val="22"/>
                <w:szCs w:val="22"/>
              </w:rPr>
              <w:t>»</w:t>
            </w:r>
            <w:r w:rsidRPr="00CF0206">
              <w:rPr>
                <w:sz w:val="22"/>
                <w:szCs w:val="22"/>
              </w:rPr>
              <w:t>, Тверское городское отделение ТРО ВДПО</w:t>
            </w:r>
            <w:proofErr w:type="gramEnd"/>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одежды (62%)</w:t>
            </w:r>
          </w:p>
          <w:p w:rsidR="00433834" w:rsidRPr="004A51C9" w:rsidRDefault="00433834" w:rsidP="006B2DDA">
            <w:pPr>
              <w:spacing w:line="204" w:lineRule="auto"/>
              <w:rPr>
                <w:sz w:val="22"/>
                <w:szCs w:val="22"/>
              </w:rPr>
            </w:pPr>
            <w:r w:rsidRPr="004A51C9">
              <w:rPr>
                <w:sz w:val="22"/>
                <w:szCs w:val="22"/>
              </w:rPr>
              <w:t xml:space="preserve">ООО «Тверская ЧНФ», ОАО «Тверская швейная фабрика», </w:t>
            </w:r>
          </w:p>
          <w:p w:rsidR="00433834" w:rsidRPr="000022E9" w:rsidRDefault="00433834" w:rsidP="006B2DDA">
            <w:pPr>
              <w:spacing w:line="204" w:lineRule="auto"/>
              <w:rPr>
                <w:b/>
                <w:color w:val="FF0000"/>
                <w:sz w:val="22"/>
                <w:szCs w:val="22"/>
              </w:rPr>
            </w:pPr>
            <w:r w:rsidRPr="004A51C9">
              <w:rPr>
                <w:sz w:val="22"/>
                <w:szCs w:val="22"/>
              </w:rPr>
              <w:t>ООО «</w:t>
            </w:r>
            <w:proofErr w:type="spellStart"/>
            <w:r w:rsidRPr="004A51C9">
              <w:rPr>
                <w:sz w:val="22"/>
                <w:szCs w:val="22"/>
              </w:rPr>
              <w:t>Интерстиль</w:t>
            </w:r>
            <w:proofErr w:type="spellEnd"/>
            <w:r w:rsidRPr="004A51C9">
              <w:rPr>
                <w:sz w:val="22"/>
                <w:szCs w:val="22"/>
              </w:rPr>
              <w:t>»</w:t>
            </w:r>
          </w:p>
        </w:tc>
      </w:tr>
      <w:tr w:rsidR="00433834" w:rsidRPr="000022E9" w:rsidTr="006B2DDA">
        <w:trPr>
          <w:trHeight w:val="357"/>
        </w:trPr>
        <w:tc>
          <w:tcPr>
            <w:tcW w:w="5529" w:type="dxa"/>
            <w:gridSpan w:val="6"/>
            <w:tcBorders>
              <w:top w:val="single" w:sz="4" w:space="0" w:color="auto"/>
              <w:left w:val="nil"/>
              <w:bottom w:val="single" w:sz="4" w:space="0" w:color="auto"/>
              <w:right w:val="single" w:sz="4" w:space="0" w:color="auto"/>
            </w:tcBorders>
          </w:tcPr>
          <w:p w:rsidR="00433834" w:rsidRDefault="00433834" w:rsidP="006B2DDA">
            <w:pPr>
              <w:spacing w:line="204" w:lineRule="auto"/>
              <w:rPr>
                <w:b/>
                <w:sz w:val="22"/>
                <w:szCs w:val="22"/>
              </w:rPr>
            </w:pPr>
            <w:r w:rsidRPr="005D2136">
              <w:rPr>
                <w:b/>
                <w:sz w:val="22"/>
                <w:szCs w:val="22"/>
              </w:rPr>
              <w:t>резиновых и пластмассовых изделий</w:t>
            </w:r>
            <w:r>
              <w:rPr>
                <w:b/>
                <w:sz w:val="22"/>
                <w:szCs w:val="22"/>
              </w:rPr>
              <w:t xml:space="preserve"> (178,4%)</w:t>
            </w:r>
          </w:p>
          <w:p w:rsidR="00433834" w:rsidRPr="00DA32BA" w:rsidRDefault="00433834" w:rsidP="006B2DDA">
            <w:pPr>
              <w:spacing w:line="204" w:lineRule="auto"/>
              <w:rPr>
                <w:sz w:val="22"/>
                <w:szCs w:val="22"/>
              </w:rPr>
            </w:pPr>
            <w:r w:rsidRPr="00DA32BA">
              <w:rPr>
                <w:sz w:val="22"/>
                <w:szCs w:val="22"/>
              </w:rPr>
              <w:t xml:space="preserve">ООО </w:t>
            </w:r>
            <w:r>
              <w:rPr>
                <w:sz w:val="22"/>
                <w:szCs w:val="22"/>
              </w:rPr>
              <w:t>«</w:t>
            </w:r>
            <w:r w:rsidRPr="00DA32BA">
              <w:rPr>
                <w:sz w:val="22"/>
                <w:szCs w:val="22"/>
              </w:rPr>
              <w:t>Компания Тверь</w:t>
            </w:r>
            <w:r>
              <w:rPr>
                <w:sz w:val="22"/>
                <w:szCs w:val="22"/>
              </w:rPr>
              <w:t xml:space="preserve"> ПАК», </w:t>
            </w:r>
            <w:r w:rsidRPr="00DA32BA">
              <w:rPr>
                <w:sz w:val="22"/>
                <w:szCs w:val="22"/>
              </w:rPr>
              <w:t xml:space="preserve">ООО </w:t>
            </w:r>
            <w:r>
              <w:rPr>
                <w:sz w:val="22"/>
                <w:szCs w:val="22"/>
              </w:rPr>
              <w:t>«</w:t>
            </w:r>
            <w:r w:rsidRPr="00DA32BA">
              <w:rPr>
                <w:sz w:val="22"/>
                <w:szCs w:val="22"/>
              </w:rPr>
              <w:t>Тверской спектр</w:t>
            </w:r>
            <w:r>
              <w:rPr>
                <w:sz w:val="22"/>
                <w:szCs w:val="22"/>
              </w:rPr>
              <w:t>»</w:t>
            </w:r>
          </w:p>
          <w:p w:rsidR="00433834" w:rsidRPr="00DA32BA" w:rsidRDefault="00433834" w:rsidP="006B2DDA">
            <w:pPr>
              <w:spacing w:line="204" w:lineRule="auto"/>
              <w:rPr>
                <w:sz w:val="22"/>
                <w:szCs w:val="22"/>
              </w:rPr>
            </w:pPr>
            <w:r w:rsidRPr="00DA32BA">
              <w:rPr>
                <w:sz w:val="22"/>
                <w:szCs w:val="22"/>
              </w:rPr>
              <w:t xml:space="preserve">ООО </w:t>
            </w:r>
            <w:r>
              <w:rPr>
                <w:sz w:val="22"/>
                <w:szCs w:val="22"/>
              </w:rPr>
              <w:t>«</w:t>
            </w:r>
            <w:r w:rsidRPr="00DA32BA">
              <w:rPr>
                <w:sz w:val="22"/>
                <w:szCs w:val="22"/>
              </w:rPr>
              <w:t>ТЗВП</w:t>
            </w:r>
            <w:r>
              <w:rPr>
                <w:sz w:val="22"/>
                <w:szCs w:val="22"/>
              </w:rPr>
              <w:t xml:space="preserve">», </w:t>
            </w:r>
            <w:r w:rsidRPr="00DA32BA">
              <w:rPr>
                <w:sz w:val="22"/>
                <w:szCs w:val="22"/>
              </w:rPr>
              <w:t xml:space="preserve">ТОСП ООО </w:t>
            </w:r>
            <w:r>
              <w:rPr>
                <w:sz w:val="22"/>
                <w:szCs w:val="22"/>
              </w:rPr>
              <w:t>«</w:t>
            </w:r>
            <w:proofErr w:type="spellStart"/>
            <w:r>
              <w:rPr>
                <w:sz w:val="22"/>
                <w:szCs w:val="22"/>
              </w:rPr>
              <w:t>К</w:t>
            </w:r>
            <w:r w:rsidRPr="00DA32BA">
              <w:rPr>
                <w:sz w:val="22"/>
                <w:szCs w:val="22"/>
              </w:rPr>
              <w:t>вадроком</w:t>
            </w:r>
            <w:proofErr w:type="gramStart"/>
            <w:r>
              <w:rPr>
                <w:sz w:val="22"/>
                <w:szCs w:val="22"/>
              </w:rPr>
              <w:t>»</w:t>
            </w:r>
            <w:r w:rsidRPr="00DA32BA">
              <w:rPr>
                <w:sz w:val="22"/>
                <w:szCs w:val="22"/>
              </w:rPr>
              <w:t>в</w:t>
            </w:r>
            <w:proofErr w:type="spellEnd"/>
            <w:proofErr w:type="gramEnd"/>
            <w:r w:rsidRPr="00DA32BA">
              <w:rPr>
                <w:sz w:val="22"/>
                <w:szCs w:val="22"/>
              </w:rPr>
              <w:t xml:space="preserve"> г </w:t>
            </w:r>
            <w:r>
              <w:rPr>
                <w:sz w:val="22"/>
                <w:szCs w:val="22"/>
              </w:rPr>
              <w:t>Т</w:t>
            </w:r>
            <w:r w:rsidRPr="00DA32BA">
              <w:rPr>
                <w:sz w:val="22"/>
                <w:szCs w:val="22"/>
              </w:rPr>
              <w:t>верь</w:t>
            </w:r>
            <w:r>
              <w:rPr>
                <w:sz w:val="22"/>
                <w:szCs w:val="22"/>
              </w:rPr>
              <w:t xml:space="preserve">, </w:t>
            </w:r>
            <w:r w:rsidRPr="00DA32BA">
              <w:rPr>
                <w:sz w:val="22"/>
                <w:szCs w:val="22"/>
              </w:rPr>
              <w:t xml:space="preserve">ООО </w:t>
            </w:r>
            <w:r>
              <w:rPr>
                <w:sz w:val="22"/>
                <w:szCs w:val="22"/>
              </w:rPr>
              <w:t>«</w:t>
            </w:r>
            <w:r w:rsidRPr="00DA32BA">
              <w:rPr>
                <w:sz w:val="22"/>
                <w:szCs w:val="22"/>
              </w:rPr>
              <w:t>Доминанта</w:t>
            </w:r>
            <w:r>
              <w:rPr>
                <w:sz w:val="22"/>
                <w:szCs w:val="22"/>
              </w:rPr>
              <w:t xml:space="preserve">», АО «ВНИИСВ», </w:t>
            </w:r>
            <w:r w:rsidRPr="00DA32BA">
              <w:rPr>
                <w:sz w:val="22"/>
                <w:szCs w:val="22"/>
              </w:rPr>
              <w:t xml:space="preserve">ООО </w:t>
            </w:r>
            <w:r>
              <w:rPr>
                <w:sz w:val="22"/>
                <w:szCs w:val="22"/>
              </w:rPr>
              <w:t>«</w:t>
            </w:r>
            <w:r w:rsidRPr="00DA32BA">
              <w:rPr>
                <w:sz w:val="22"/>
                <w:szCs w:val="22"/>
              </w:rPr>
              <w:t xml:space="preserve">ДКС </w:t>
            </w:r>
            <w:r>
              <w:rPr>
                <w:sz w:val="22"/>
                <w:szCs w:val="22"/>
              </w:rPr>
              <w:t>–</w:t>
            </w:r>
            <w:r w:rsidRPr="00DA32BA">
              <w:rPr>
                <w:sz w:val="22"/>
                <w:szCs w:val="22"/>
              </w:rPr>
              <w:t xml:space="preserve"> Развитие</w:t>
            </w:r>
            <w:r>
              <w:rPr>
                <w:sz w:val="22"/>
                <w:szCs w:val="22"/>
              </w:rPr>
              <w:t>»</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автотранспортных средств, прицепов и полуприцепов (85,1%)</w:t>
            </w:r>
          </w:p>
          <w:p w:rsidR="00433834" w:rsidRPr="004A51C9" w:rsidRDefault="00433834" w:rsidP="006B2DDA">
            <w:pPr>
              <w:spacing w:line="204" w:lineRule="auto"/>
              <w:rPr>
                <w:sz w:val="22"/>
                <w:szCs w:val="22"/>
              </w:rPr>
            </w:pPr>
            <w:r w:rsidRPr="004A51C9">
              <w:rPr>
                <w:sz w:val="22"/>
                <w:szCs w:val="22"/>
              </w:rPr>
              <w:t>ООО «</w:t>
            </w:r>
            <w:proofErr w:type="spellStart"/>
            <w:r w:rsidRPr="004A51C9">
              <w:rPr>
                <w:sz w:val="22"/>
                <w:szCs w:val="22"/>
              </w:rPr>
              <w:t>Тверьстроймаш</w:t>
            </w:r>
            <w:proofErr w:type="spellEnd"/>
            <w:r w:rsidRPr="004A51C9">
              <w:rPr>
                <w:sz w:val="22"/>
                <w:szCs w:val="22"/>
              </w:rPr>
              <w:t>»</w:t>
            </w:r>
          </w:p>
          <w:p w:rsidR="00433834" w:rsidRPr="004A51C9" w:rsidRDefault="00433834" w:rsidP="006B2DDA">
            <w:pPr>
              <w:spacing w:line="204" w:lineRule="auto"/>
              <w:rPr>
                <w:sz w:val="22"/>
                <w:szCs w:val="22"/>
              </w:rPr>
            </w:pPr>
            <w:r w:rsidRPr="004A51C9">
              <w:rPr>
                <w:sz w:val="22"/>
                <w:szCs w:val="22"/>
              </w:rPr>
              <w:t>ООО «Компания «</w:t>
            </w:r>
            <w:proofErr w:type="spellStart"/>
            <w:r w:rsidRPr="004A51C9">
              <w:rPr>
                <w:sz w:val="22"/>
                <w:szCs w:val="22"/>
              </w:rPr>
              <w:t>Спецприцеп</w:t>
            </w:r>
            <w:proofErr w:type="spellEnd"/>
            <w:r w:rsidRPr="004A51C9">
              <w:rPr>
                <w:sz w:val="22"/>
                <w:szCs w:val="22"/>
              </w:rPr>
              <w:t>»</w:t>
            </w:r>
          </w:p>
          <w:p w:rsidR="00433834" w:rsidRPr="004A51C9" w:rsidRDefault="00433834" w:rsidP="006B2DDA">
            <w:pPr>
              <w:spacing w:line="204" w:lineRule="auto"/>
              <w:rPr>
                <w:b/>
              </w:rPr>
            </w:pPr>
            <w:r>
              <w:rPr>
                <w:sz w:val="22"/>
                <w:szCs w:val="22"/>
              </w:rPr>
              <w:t>ООО «ПК «</w:t>
            </w:r>
            <w:proofErr w:type="spellStart"/>
            <w:r w:rsidRPr="004A51C9">
              <w:rPr>
                <w:sz w:val="22"/>
                <w:szCs w:val="22"/>
              </w:rPr>
              <w:t>Техинком</w:t>
            </w:r>
            <w:proofErr w:type="spellEnd"/>
            <w:r w:rsidRPr="004A51C9">
              <w:rPr>
                <w:sz w:val="22"/>
                <w:szCs w:val="22"/>
              </w:rPr>
              <w:t>-Центр»</w:t>
            </w:r>
          </w:p>
        </w:tc>
      </w:tr>
      <w:tr w:rsidR="00433834" w:rsidRPr="000022E9" w:rsidTr="006B2DDA">
        <w:trPr>
          <w:trHeight w:val="357"/>
        </w:trPr>
        <w:tc>
          <w:tcPr>
            <w:tcW w:w="5529" w:type="dxa"/>
            <w:gridSpan w:val="6"/>
            <w:tcBorders>
              <w:top w:val="single" w:sz="4" w:space="0" w:color="auto"/>
              <w:left w:val="nil"/>
              <w:bottom w:val="single" w:sz="4" w:space="0" w:color="auto"/>
              <w:right w:val="single" w:sz="4" w:space="0" w:color="auto"/>
            </w:tcBorders>
          </w:tcPr>
          <w:p w:rsidR="00433834" w:rsidRPr="00DA32BA" w:rsidRDefault="00433834" w:rsidP="006B2DDA">
            <w:pPr>
              <w:spacing w:line="204" w:lineRule="auto"/>
              <w:rPr>
                <w:b/>
                <w:sz w:val="22"/>
                <w:szCs w:val="22"/>
              </w:rPr>
            </w:pPr>
            <w:proofErr w:type="gramStart"/>
            <w:r w:rsidRPr="00A31F9C">
              <w:rPr>
                <w:b/>
                <w:sz w:val="22"/>
                <w:szCs w:val="22"/>
              </w:rPr>
              <w:t>компьютеров, электронных и оптических изделий (146,1%)</w:t>
            </w:r>
            <w:r>
              <w:rPr>
                <w:b/>
                <w:sz w:val="22"/>
                <w:szCs w:val="22"/>
              </w:rPr>
              <w:t xml:space="preserve"> </w:t>
            </w:r>
            <w:r w:rsidRPr="00A31F9C">
              <w:rPr>
                <w:sz w:val="22"/>
                <w:szCs w:val="22"/>
              </w:rPr>
              <w:t>ООО «Завод «Эталон»,</w:t>
            </w:r>
            <w:r>
              <w:rPr>
                <w:b/>
                <w:sz w:val="22"/>
                <w:szCs w:val="22"/>
              </w:rPr>
              <w:t xml:space="preserve"> </w:t>
            </w:r>
            <w:r w:rsidRPr="00A31F9C">
              <w:rPr>
                <w:sz w:val="22"/>
                <w:szCs w:val="22"/>
              </w:rPr>
              <w:t>Филиал ООО «Корпорация ИМС» в г. Тверь «ИМС-Тверь»</w:t>
            </w:r>
            <w:proofErr w:type="gramEnd"/>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rPr>
            </w:pPr>
            <w:r w:rsidRPr="004A51C9">
              <w:rPr>
                <w:b/>
                <w:sz w:val="22"/>
                <w:szCs w:val="22"/>
              </w:rPr>
              <w:t>металлургическое (92,5%)</w:t>
            </w:r>
          </w:p>
          <w:p w:rsidR="00433834" w:rsidRPr="004A51C9" w:rsidRDefault="00433834" w:rsidP="006B2DDA">
            <w:pPr>
              <w:rPr>
                <w:sz w:val="22"/>
                <w:szCs w:val="22"/>
              </w:rPr>
            </w:pPr>
            <w:r w:rsidRPr="004A51C9">
              <w:rPr>
                <w:sz w:val="22"/>
                <w:szCs w:val="22"/>
              </w:rPr>
              <w:t>ТОСП ООО «Группа компаний Демидов»</w:t>
            </w:r>
          </w:p>
          <w:p w:rsidR="00433834" w:rsidRPr="00DA32BA" w:rsidRDefault="00433834" w:rsidP="006B2DDA">
            <w:pPr>
              <w:rPr>
                <w:sz w:val="22"/>
                <w:szCs w:val="22"/>
              </w:rPr>
            </w:pPr>
            <w:r w:rsidRPr="004A51C9">
              <w:rPr>
                <w:sz w:val="22"/>
                <w:szCs w:val="22"/>
              </w:rPr>
              <w:t xml:space="preserve"> г. Тверь</w:t>
            </w:r>
            <w:r>
              <w:rPr>
                <w:sz w:val="22"/>
                <w:szCs w:val="22"/>
              </w:rPr>
              <w:t xml:space="preserve">, </w:t>
            </w:r>
            <w:r w:rsidRPr="004A51C9">
              <w:rPr>
                <w:sz w:val="22"/>
                <w:szCs w:val="22"/>
              </w:rPr>
              <w:t>ООО «Литейное производство»</w:t>
            </w:r>
          </w:p>
        </w:tc>
      </w:tr>
      <w:tr w:rsidR="00433834" w:rsidRPr="000022E9" w:rsidTr="006B2DDA">
        <w:trPr>
          <w:trHeight w:val="357"/>
        </w:trPr>
        <w:tc>
          <w:tcPr>
            <w:tcW w:w="5529" w:type="dxa"/>
            <w:gridSpan w:val="6"/>
            <w:tcBorders>
              <w:top w:val="single" w:sz="4" w:space="0" w:color="auto"/>
              <w:left w:val="nil"/>
              <w:bottom w:val="single" w:sz="4" w:space="0" w:color="auto"/>
              <w:right w:val="single" w:sz="4" w:space="0" w:color="auto"/>
            </w:tcBorders>
          </w:tcPr>
          <w:p w:rsidR="00433834" w:rsidRPr="005B3502" w:rsidRDefault="00433834" w:rsidP="006B2DDA">
            <w:pPr>
              <w:spacing w:line="204" w:lineRule="auto"/>
              <w:rPr>
                <w:b/>
                <w:sz w:val="22"/>
                <w:szCs w:val="22"/>
              </w:rPr>
            </w:pPr>
            <w:r w:rsidRPr="005B3502">
              <w:rPr>
                <w:b/>
                <w:sz w:val="22"/>
                <w:szCs w:val="22"/>
              </w:rPr>
              <w:t>электрического оборудования (142,6%)</w:t>
            </w:r>
          </w:p>
          <w:p w:rsidR="00433834" w:rsidRPr="005B3502" w:rsidRDefault="00433834" w:rsidP="006B2DDA">
            <w:pPr>
              <w:spacing w:line="204" w:lineRule="auto"/>
              <w:rPr>
                <w:sz w:val="22"/>
                <w:szCs w:val="22"/>
              </w:rPr>
            </w:pPr>
            <w:r w:rsidRPr="005B3502">
              <w:rPr>
                <w:sz w:val="22"/>
                <w:szCs w:val="22"/>
              </w:rPr>
              <w:t>АО «</w:t>
            </w:r>
            <w:proofErr w:type="spellStart"/>
            <w:r w:rsidRPr="005B3502">
              <w:rPr>
                <w:sz w:val="22"/>
                <w:szCs w:val="22"/>
              </w:rPr>
              <w:t>Тверьэнергокабель</w:t>
            </w:r>
            <w:proofErr w:type="spellEnd"/>
            <w:r w:rsidRPr="005B3502">
              <w:rPr>
                <w:sz w:val="22"/>
                <w:szCs w:val="22"/>
              </w:rPr>
              <w:t>»,</w:t>
            </w:r>
          </w:p>
          <w:p w:rsidR="00433834" w:rsidRPr="005B3502" w:rsidRDefault="00433834" w:rsidP="006B2DDA">
            <w:pPr>
              <w:spacing w:line="204" w:lineRule="auto"/>
              <w:rPr>
                <w:b/>
              </w:rPr>
            </w:pPr>
            <w:r w:rsidRPr="005B3502">
              <w:rPr>
                <w:sz w:val="22"/>
                <w:szCs w:val="22"/>
              </w:rPr>
              <w:t>ООО «ЛЕМ Россия»</w:t>
            </w:r>
          </w:p>
        </w:tc>
        <w:tc>
          <w:tcPr>
            <w:tcW w:w="4678" w:type="dxa"/>
            <w:gridSpan w:val="6"/>
            <w:tcBorders>
              <w:top w:val="single" w:sz="4" w:space="0" w:color="auto"/>
              <w:left w:val="single" w:sz="4" w:space="0" w:color="auto"/>
              <w:bottom w:val="single" w:sz="4" w:space="0" w:color="auto"/>
              <w:right w:val="nil"/>
            </w:tcBorders>
          </w:tcPr>
          <w:p w:rsidR="00433834" w:rsidRPr="004A51C9" w:rsidRDefault="00433834" w:rsidP="006B2DDA">
            <w:pPr>
              <w:spacing w:line="204" w:lineRule="auto"/>
              <w:rPr>
                <w:b/>
                <w:sz w:val="22"/>
                <w:szCs w:val="22"/>
              </w:rPr>
            </w:pPr>
            <w:r w:rsidRPr="004A51C9">
              <w:rPr>
                <w:b/>
                <w:sz w:val="22"/>
                <w:szCs w:val="22"/>
              </w:rPr>
              <w:t>текстильных изделий (95,3%)</w:t>
            </w:r>
          </w:p>
          <w:p w:rsidR="00433834" w:rsidRPr="007730BA" w:rsidRDefault="00433834" w:rsidP="006B2DDA">
            <w:r w:rsidRPr="007730BA">
              <w:t>ООО «</w:t>
            </w:r>
            <w:proofErr w:type="gramStart"/>
            <w:r w:rsidRPr="007730BA">
              <w:t>Тверская</w:t>
            </w:r>
            <w:proofErr w:type="gramEnd"/>
            <w:r w:rsidRPr="007730BA">
              <w:t xml:space="preserve"> АПК», ЗАО «</w:t>
            </w:r>
            <w:proofErr w:type="spellStart"/>
            <w:r w:rsidRPr="007730BA">
              <w:t>Синтекс</w:t>
            </w:r>
            <w:proofErr w:type="spellEnd"/>
            <w:r w:rsidRPr="007730BA">
              <w:t>»</w:t>
            </w:r>
          </w:p>
          <w:p w:rsidR="00433834" w:rsidRPr="004A51C9" w:rsidRDefault="00433834" w:rsidP="006B2DDA">
            <w:pPr>
              <w:spacing w:line="204" w:lineRule="auto"/>
              <w:rPr>
                <w:b/>
              </w:rPr>
            </w:pPr>
            <w:r w:rsidRPr="007730BA">
              <w:t>ФКУ ИК-1 УФСИН России по Тверской области ООО ПФ «Мустанг-2», ООО «Тверское СРП № 1 ВОГ»</w:t>
            </w:r>
          </w:p>
        </w:tc>
      </w:tr>
      <w:tr w:rsidR="00433834" w:rsidRPr="000022E9" w:rsidTr="006B2DDA">
        <w:trPr>
          <w:trHeight w:val="357"/>
        </w:trPr>
        <w:tc>
          <w:tcPr>
            <w:tcW w:w="5529" w:type="dxa"/>
            <w:gridSpan w:val="6"/>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rPr>
            </w:pPr>
            <w:r w:rsidRPr="00A31F9C">
              <w:rPr>
                <w:b/>
                <w:sz w:val="22"/>
                <w:szCs w:val="22"/>
              </w:rPr>
              <w:t>напитков (138,2%)</w:t>
            </w:r>
          </w:p>
          <w:p w:rsidR="00433834" w:rsidRPr="00A31F9C" w:rsidRDefault="00433834" w:rsidP="006B2DDA">
            <w:pPr>
              <w:rPr>
                <w:sz w:val="22"/>
                <w:szCs w:val="22"/>
              </w:rPr>
            </w:pPr>
            <w:r w:rsidRPr="00A31F9C">
              <w:rPr>
                <w:sz w:val="22"/>
                <w:szCs w:val="22"/>
              </w:rPr>
              <w:t>ООО «Частная пивоварня «Афанасий»</w:t>
            </w:r>
          </w:p>
          <w:p w:rsidR="00433834" w:rsidRPr="000022E9" w:rsidRDefault="00433834" w:rsidP="006B2DDA">
            <w:pPr>
              <w:spacing w:line="204" w:lineRule="auto"/>
              <w:rPr>
                <w:color w:val="FF0000"/>
                <w:sz w:val="22"/>
                <w:szCs w:val="22"/>
              </w:rPr>
            </w:pPr>
            <w:r w:rsidRPr="00A31F9C">
              <w:rPr>
                <w:sz w:val="22"/>
                <w:szCs w:val="22"/>
              </w:rPr>
              <w:t xml:space="preserve">ООО «Юнайтед </w:t>
            </w:r>
            <w:proofErr w:type="spellStart"/>
            <w:r w:rsidRPr="00A31F9C">
              <w:rPr>
                <w:sz w:val="22"/>
                <w:szCs w:val="22"/>
              </w:rPr>
              <w:t>Боттлинг</w:t>
            </w:r>
            <w:proofErr w:type="spellEnd"/>
            <w:r w:rsidRPr="00A31F9C">
              <w:rPr>
                <w:sz w:val="22"/>
                <w:szCs w:val="22"/>
              </w:rPr>
              <w:t xml:space="preserve"> Групп»</w:t>
            </w:r>
          </w:p>
        </w:tc>
        <w:tc>
          <w:tcPr>
            <w:tcW w:w="4678" w:type="dxa"/>
            <w:gridSpan w:val="6"/>
            <w:vMerge w:val="restart"/>
            <w:tcBorders>
              <w:top w:val="single" w:sz="4" w:space="0" w:color="auto"/>
              <w:left w:val="single" w:sz="4" w:space="0" w:color="auto"/>
              <w:right w:val="nil"/>
            </w:tcBorders>
          </w:tcPr>
          <w:p w:rsidR="00433834" w:rsidRPr="004A51C9" w:rsidRDefault="00433834" w:rsidP="006B2DDA">
            <w:pPr>
              <w:spacing w:line="204" w:lineRule="auto"/>
              <w:rPr>
                <w:b/>
                <w:sz w:val="22"/>
                <w:szCs w:val="22"/>
              </w:rPr>
            </w:pPr>
            <w:r w:rsidRPr="004A51C9">
              <w:rPr>
                <w:b/>
                <w:sz w:val="22"/>
                <w:szCs w:val="22"/>
              </w:rPr>
              <w:t>прочих готовых изделий (90,5%)</w:t>
            </w:r>
          </w:p>
          <w:p w:rsidR="00433834" w:rsidRPr="00645340" w:rsidRDefault="00433834" w:rsidP="006B2DDA">
            <w:pPr>
              <w:spacing w:line="204" w:lineRule="auto"/>
              <w:rPr>
                <w:sz w:val="22"/>
                <w:szCs w:val="22"/>
              </w:rPr>
            </w:pPr>
            <w:r w:rsidRPr="00645340">
              <w:rPr>
                <w:sz w:val="22"/>
                <w:szCs w:val="22"/>
              </w:rPr>
              <w:t xml:space="preserve">Тверской филиал ФГУП </w:t>
            </w:r>
            <w:r>
              <w:rPr>
                <w:sz w:val="22"/>
                <w:szCs w:val="22"/>
              </w:rPr>
              <w:t>«</w:t>
            </w:r>
            <w:proofErr w:type="gramStart"/>
            <w:r w:rsidRPr="00645340">
              <w:rPr>
                <w:sz w:val="22"/>
                <w:szCs w:val="22"/>
              </w:rPr>
              <w:t>Московское</w:t>
            </w:r>
            <w:proofErr w:type="gramEnd"/>
            <w:r w:rsidRPr="00645340">
              <w:rPr>
                <w:sz w:val="22"/>
                <w:szCs w:val="22"/>
              </w:rPr>
              <w:t xml:space="preserve"> ПРОП</w:t>
            </w:r>
            <w:r>
              <w:rPr>
                <w:sz w:val="22"/>
                <w:szCs w:val="22"/>
              </w:rPr>
              <w:t>»</w:t>
            </w:r>
            <w:r w:rsidRPr="00645340">
              <w:rPr>
                <w:sz w:val="22"/>
                <w:szCs w:val="22"/>
              </w:rPr>
              <w:t xml:space="preserve"> Минтруда России</w:t>
            </w:r>
            <w:r>
              <w:rPr>
                <w:sz w:val="22"/>
                <w:szCs w:val="22"/>
              </w:rPr>
              <w:t>,</w:t>
            </w:r>
          </w:p>
          <w:p w:rsidR="00433834" w:rsidRPr="000022E9" w:rsidRDefault="00433834" w:rsidP="006B2DDA">
            <w:pPr>
              <w:rPr>
                <w:color w:val="FF0000"/>
              </w:rPr>
            </w:pPr>
            <w:r w:rsidRPr="00645340">
              <w:rPr>
                <w:sz w:val="22"/>
                <w:szCs w:val="22"/>
              </w:rPr>
              <w:lastRenderedPageBreak/>
              <w:t xml:space="preserve">ФКУ ИК-1 УФСИН </w:t>
            </w:r>
            <w:r>
              <w:rPr>
                <w:sz w:val="22"/>
                <w:szCs w:val="22"/>
              </w:rPr>
              <w:t>Р</w:t>
            </w:r>
            <w:r w:rsidRPr="00645340">
              <w:rPr>
                <w:sz w:val="22"/>
                <w:szCs w:val="22"/>
              </w:rPr>
              <w:t>оссии по Тверской области</w:t>
            </w:r>
          </w:p>
        </w:tc>
      </w:tr>
      <w:tr w:rsidR="00433834" w:rsidRPr="000022E9" w:rsidTr="006B2DDA">
        <w:trPr>
          <w:trHeight w:val="910"/>
        </w:trPr>
        <w:tc>
          <w:tcPr>
            <w:tcW w:w="5529" w:type="dxa"/>
            <w:gridSpan w:val="6"/>
            <w:tcBorders>
              <w:top w:val="single" w:sz="4" w:space="0" w:color="auto"/>
              <w:left w:val="nil"/>
              <w:bottom w:val="single" w:sz="4" w:space="0" w:color="auto"/>
              <w:right w:val="single" w:sz="4" w:space="0" w:color="auto"/>
            </w:tcBorders>
          </w:tcPr>
          <w:p w:rsidR="00433834" w:rsidRPr="00A31F9C" w:rsidRDefault="00433834" w:rsidP="006B2DDA">
            <w:pPr>
              <w:spacing w:line="216" w:lineRule="auto"/>
              <w:rPr>
                <w:b/>
                <w:sz w:val="22"/>
                <w:szCs w:val="22"/>
              </w:rPr>
            </w:pPr>
            <w:r w:rsidRPr="00A31F9C">
              <w:rPr>
                <w:b/>
                <w:sz w:val="22"/>
                <w:szCs w:val="22"/>
              </w:rPr>
              <w:lastRenderedPageBreak/>
              <w:t xml:space="preserve">лекарственных средств и материалов, </w:t>
            </w:r>
            <w:r w:rsidRPr="00A31F9C">
              <w:rPr>
                <w:b/>
                <w:sz w:val="22"/>
                <w:szCs w:val="22"/>
              </w:rPr>
              <w:br/>
              <w:t>применяемых в медицинских целях (130,4%)</w:t>
            </w:r>
          </w:p>
          <w:p w:rsidR="00433834" w:rsidRPr="00A31F9C" w:rsidRDefault="00433834" w:rsidP="006B2DDA">
            <w:pPr>
              <w:spacing w:line="216" w:lineRule="auto"/>
              <w:rPr>
                <w:sz w:val="22"/>
                <w:szCs w:val="22"/>
              </w:rPr>
            </w:pPr>
            <w:r w:rsidRPr="00A31F9C">
              <w:rPr>
                <w:sz w:val="22"/>
                <w:szCs w:val="22"/>
              </w:rPr>
              <w:t xml:space="preserve">АО «ВНИИСВ», </w:t>
            </w:r>
          </w:p>
          <w:p w:rsidR="00433834" w:rsidRPr="000022E9" w:rsidRDefault="00433834" w:rsidP="006B2DDA">
            <w:pPr>
              <w:rPr>
                <w:color w:val="FF0000"/>
              </w:rPr>
            </w:pPr>
            <w:r w:rsidRPr="00A31F9C">
              <w:rPr>
                <w:sz w:val="22"/>
                <w:szCs w:val="22"/>
              </w:rPr>
              <w:t>ФЛ Тверской ООО «</w:t>
            </w:r>
            <w:proofErr w:type="spellStart"/>
            <w:r w:rsidRPr="00A31F9C">
              <w:rPr>
                <w:sz w:val="22"/>
                <w:szCs w:val="22"/>
              </w:rPr>
              <w:t>Гематек</w:t>
            </w:r>
            <w:proofErr w:type="spellEnd"/>
            <w:r w:rsidRPr="00A31F9C">
              <w:rPr>
                <w:sz w:val="22"/>
                <w:szCs w:val="22"/>
              </w:rPr>
              <w:t>»</w:t>
            </w:r>
          </w:p>
        </w:tc>
        <w:tc>
          <w:tcPr>
            <w:tcW w:w="4678" w:type="dxa"/>
            <w:gridSpan w:val="6"/>
            <w:vMerge/>
            <w:tcBorders>
              <w:left w:val="single" w:sz="4" w:space="0" w:color="auto"/>
              <w:bottom w:val="single" w:sz="4" w:space="0" w:color="auto"/>
              <w:right w:val="nil"/>
            </w:tcBorders>
          </w:tcPr>
          <w:p w:rsidR="00433834" w:rsidRPr="00DA32BA" w:rsidRDefault="00433834" w:rsidP="006B2DDA">
            <w:pPr>
              <w:spacing w:line="204" w:lineRule="auto"/>
              <w:rPr>
                <w:sz w:val="22"/>
                <w:szCs w:val="22"/>
              </w:rPr>
            </w:pPr>
          </w:p>
        </w:tc>
      </w:tr>
      <w:tr w:rsidR="00433834" w:rsidRPr="000022E9" w:rsidTr="006B2DDA">
        <w:trPr>
          <w:trHeight w:val="1079"/>
        </w:trPr>
        <w:tc>
          <w:tcPr>
            <w:tcW w:w="5529" w:type="dxa"/>
            <w:gridSpan w:val="6"/>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sz w:val="22"/>
                <w:szCs w:val="22"/>
              </w:rPr>
            </w:pPr>
            <w:r w:rsidRPr="00A31F9C">
              <w:rPr>
                <w:b/>
                <w:sz w:val="22"/>
                <w:szCs w:val="22"/>
              </w:rPr>
              <w:lastRenderedPageBreak/>
              <w:t xml:space="preserve">машин и оборудования, не включенных </w:t>
            </w:r>
            <w:r w:rsidRPr="00A31F9C">
              <w:rPr>
                <w:b/>
                <w:sz w:val="22"/>
                <w:szCs w:val="22"/>
              </w:rPr>
              <w:br/>
              <w:t>в другие группировки (128,9%)</w:t>
            </w:r>
          </w:p>
          <w:p w:rsidR="00433834" w:rsidRPr="00A31F9C" w:rsidRDefault="00433834" w:rsidP="006B2DDA">
            <w:pPr>
              <w:spacing w:line="204" w:lineRule="auto"/>
              <w:rPr>
                <w:sz w:val="22"/>
                <w:szCs w:val="22"/>
              </w:rPr>
            </w:pPr>
            <w:r w:rsidRPr="00A31F9C">
              <w:rPr>
                <w:sz w:val="22"/>
                <w:szCs w:val="22"/>
              </w:rPr>
              <w:t>ЗАО «Тверской экскаватор», ОАО «</w:t>
            </w:r>
            <w:proofErr w:type="spellStart"/>
            <w:r w:rsidRPr="00A31F9C">
              <w:rPr>
                <w:sz w:val="22"/>
                <w:szCs w:val="22"/>
              </w:rPr>
              <w:t>Энергомаш</w:t>
            </w:r>
            <w:proofErr w:type="spellEnd"/>
            <w:r w:rsidRPr="00A31F9C">
              <w:rPr>
                <w:sz w:val="22"/>
                <w:szCs w:val="22"/>
              </w:rPr>
              <w:t xml:space="preserve">», </w:t>
            </w:r>
          </w:p>
          <w:p w:rsidR="00433834" w:rsidRPr="000022E9" w:rsidRDefault="00433834" w:rsidP="006B2DDA">
            <w:pPr>
              <w:spacing w:line="204" w:lineRule="auto"/>
              <w:rPr>
                <w:color w:val="FF0000"/>
                <w:sz w:val="22"/>
                <w:szCs w:val="22"/>
              </w:rPr>
            </w:pPr>
            <w:r w:rsidRPr="00A31F9C">
              <w:rPr>
                <w:sz w:val="22"/>
                <w:szCs w:val="22"/>
              </w:rPr>
              <w:t>ЗАО «ТЭМЗ», АО «</w:t>
            </w:r>
            <w:proofErr w:type="spellStart"/>
            <w:r w:rsidRPr="00A31F9C">
              <w:rPr>
                <w:sz w:val="22"/>
                <w:szCs w:val="22"/>
              </w:rPr>
              <w:t>Эксмаш</w:t>
            </w:r>
            <w:proofErr w:type="spellEnd"/>
            <w:r w:rsidRPr="00A31F9C">
              <w:rPr>
                <w:sz w:val="22"/>
                <w:szCs w:val="22"/>
              </w:rPr>
              <w:t>»,ФЛ ЗАО «НПГ Гранит - Саламандра», ООО «Контур</w:t>
            </w:r>
            <w:proofErr w:type="gramStart"/>
            <w:r w:rsidRPr="00A31F9C">
              <w:rPr>
                <w:sz w:val="22"/>
                <w:szCs w:val="22"/>
              </w:rPr>
              <w:t xml:space="preserve"> К</w:t>
            </w:r>
            <w:proofErr w:type="gramEnd"/>
            <w:r w:rsidRPr="00A31F9C">
              <w:rPr>
                <w:sz w:val="22"/>
                <w:szCs w:val="22"/>
              </w:rPr>
              <w:t>», ООО «</w:t>
            </w:r>
            <w:proofErr w:type="spellStart"/>
            <w:r w:rsidRPr="00A31F9C">
              <w:rPr>
                <w:sz w:val="22"/>
                <w:szCs w:val="22"/>
              </w:rPr>
              <w:t>Транскон</w:t>
            </w:r>
            <w:proofErr w:type="spellEnd"/>
            <w:r w:rsidRPr="00A31F9C">
              <w:rPr>
                <w:sz w:val="22"/>
                <w:szCs w:val="22"/>
              </w:rPr>
              <w:t>»</w:t>
            </w:r>
          </w:p>
        </w:tc>
        <w:tc>
          <w:tcPr>
            <w:tcW w:w="4678" w:type="dxa"/>
            <w:gridSpan w:val="6"/>
            <w:vMerge w:val="restart"/>
            <w:tcBorders>
              <w:top w:val="single" w:sz="4" w:space="0" w:color="auto"/>
              <w:left w:val="single" w:sz="4" w:space="0" w:color="auto"/>
              <w:right w:val="nil"/>
            </w:tcBorders>
          </w:tcPr>
          <w:p w:rsidR="00433834" w:rsidRDefault="00433834" w:rsidP="006B2DDA">
            <w:pPr>
              <w:spacing w:line="204" w:lineRule="auto"/>
              <w:rPr>
                <w:color w:val="FF0000"/>
                <w:sz w:val="22"/>
                <w:szCs w:val="22"/>
              </w:rPr>
            </w:pPr>
          </w:p>
          <w:p w:rsidR="00433834" w:rsidRDefault="00433834" w:rsidP="006B2DDA">
            <w:pPr>
              <w:spacing w:line="204" w:lineRule="auto"/>
              <w:rPr>
                <w:color w:val="FF0000"/>
                <w:sz w:val="22"/>
                <w:szCs w:val="22"/>
              </w:rPr>
            </w:pPr>
            <w:r w:rsidRPr="000022E9">
              <w:rPr>
                <w:b/>
                <w:noProof/>
                <w:color w:val="FF0000"/>
              </w:rPr>
              <mc:AlternateContent>
                <mc:Choice Requires="wps">
                  <w:drawing>
                    <wp:anchor distT="0" distB="0" distL="114300" distR="114300" simplePos="0" relativeHeight="251735040" behindDoc="0" locked="0" layoutInCell="1" allowOverlap="1" wp14:anchorId="0459D0D8" wp14:editId="04AD9F67">
                      <wp:simplePos x="0" y="0"/>
                      <wp:positionH relativeFrom="column">
                        <wp:posOffset>41910</wp:posOffset>
                      </wp:positionH>
                      <wp:positionV relativeFrom="paragraph">
                        <wp:posOffset>27830</wp:posOffset>
                      </wp:positionV>
                      <wp:extent cx="2703195" cy="1351280"/>
                      <wp:effectExtent l="0" t="0" r="0" b="12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351280"/>
                              </a:xfrm>
                              <a:prstGeom prst="rect">
                                <a:avLst/>
                              </a:prstGeom>
                              <a:noFill/>
                              <a:ln w="9525">
                                <a:noFill/>
                                <a:miter lim="800000"/>
                                <a:headEnd/>
                                <a:tailEnd/>
                              </a:ln>
                            </wps:spPr>
                            <wps:txbx>
                              <w:txbxContent>
                                <w:p w:rsidR="008B1069" w:rsidRPr="00A2678A" w:rsidRDefault="008B1069" w:rsidP="00433834">
                                  <w:pPr>
                                    <w:spacing w:line="216" w:lineRule="auto"/>
                                    <w:rPr>
                                      <w:szCs w:val="21"/>
                                    </w:rPr>
                                  </w:pPr>
                                  <w:r>
                                    <w:rPr>
                                      <w:szCs w:val="21"/>
                                    </w:rPr>
                                    <w:t>По и</w:t>
                                  </w:r>
                                  <w:r w:rsidRPr="00A2678A">
                                    <w:rPr>
                                      <w:szCs w:val="21"/>
                                    </w:rPr>
                                    <w:t>тог</w:t>
                                  </w:r>
                                  <w:r>
                                    <w:rPr>
                                      <w:szCs w:val="21"/>
                                    </w:rPr>
                                    <w:t>ам</w:t>
                                  </w:r>
                                  <w:r w:rsidRPr="00A2678A">
                                    <w:rPr>
                                      <w:szCs w:val="21"/>
                                    </w:rPr>
                                    <w:t xml:space="preserve"> обследования деловой активности промышленных предприятий Тверской области за июнь 2019 года </w:t>
                                  </w:r>
                                </w:p>
                                <w:p w:rsidR="008B1069" w:rsidRPr="00A2678A" w:rsidRDefault="008B1069" w:rsidP="00433834">
                                  <w:pPr>
                                    <w:rPr>
                                      <w:szCs w:val="21"/>
                                    </w:rPr>
                                  </w:pPr>
                                  <w:r w:rsidRPr="00A2678A">
                                    <w:rPr>
                                      <w:i/>
                                      <w:szCs w:val="21"/>
                                      <w:u w:val="single"/>
                                      <w14:shadow w14:blurRad="50800" w14:dist="38100" w14:dir="13500000" w14:sx="100000" w14:sy="100000" w14:kx="0" w14:ky="0" w14:algn="br">
                                        <w14:srgbClr w14:val="000000">
                                          <w14:alpha w14:val="60000"/>
                                        </w14:srgbClr>
                                      </w14:shadow>
                                    </w:rPr>
                                    <w:t xml:space="preserve">экономическую ситуацию </w:t>
                                  </w:r>
                                  <w:r>
                                    <w:rPr>
                                      <w:i/>
                                      <w:szCs w:val="21"/>
                                      <w:u w:val="single"/>
                                      <w14:shadow w14:blurRad="50800" w14:dist="38100" w14:dir="13500000" w14:sx="100000" w14:sy="100000" w14:kx="0" w14:ky="0" w14:algn="br">
                                        <w14:srgbClr w14:val="000000">
                                          <w14:alpha w14:val="60000"/>
                                        </w14:srgbClr>
                                      </w14:shadow>
                                    </w:rPr>
                                    <w:t>считают</w:t>
                                  </w:r>
                                </w:p>
                                <w:p w:rsidR="008B1069" w:rsidRPr="005159CE" w:rsidRDefault="008B1069" w:rsidP="00433834">
                                  <w:pPr>
                                    <w:rPr>
                                      <w:szCs w:val="21"/>
                                    </w:rPr>
                                  </w:pPr>
                                  <w:r w:rsidRPr="005159CE">
                                    <w:rPr>
                                      <w:i/>
                                      <w:szCs w:val="21"/>
                                    </w:rPr>
                                    <w:t xml:space="preserve">- «удовлетворительной» </w:t>
                                  </w:r>
                                  <w:r w:rsidRPr="005159CE">
                                    <w:rPr>
                                      <w:i/>
                                      <w:szCs w:val="21"/>
                                    </w:rPr>
                                    <w:br/>
                                    <w:t xml:space="preserve">  </w:t>
                                  </w:r>
                                  <w:r w:rsidRPr="005159CE">
                                    <w:rPr>
                                      <w:b/>
                                      <w:i/>
                                      <w:szCs w:val="21"/>
                                    </w:rPr>
                                    <w:t>73</w:t>
                                  </w:r>
                                  <w:r w:rsidRPr="005159CE">
                                    <w:rPr>
                                      <w:i/>
                                      <w:szCs w:val="21"/>
                                    </w:rPr>
                                    <w:t xml:space="preserve">% </w:t>
                                  </w:r>
                                  <w:r w:rsidRPr="005159CE">
                                    <w:rPr>
                                      <w:szCs w:val="21"/>
                                    </w:rPr>
                                    <w:t>руководителей,</w:t>
                                  </w:r>
                                </w:p>
                                <w:p w:rsidR="008B1069" w:rsidRPr="005159CE" w:rsidRDefault="008B1069" w:rsidP="00433834">
                                  <w:pPr>
                                    <w:rPr>
                                      <w:szCs w:val="21"/>
                                    </w:rPr>
                                  </w:pPr>
                                  <w:r>
                                    <w:rPr>
                                      <w:i/>
                                      <w:szCs w:val="21"/>
                                    </w:rPr>
                                    <w:t xml:space="preserve">                  </w:t>
                                  </w:r>
                                  <w:r w:rsidRPr="005159CE">
                                    <w:rPr>
                                      <w:i/>
                                      <w:szCs w:val="21"/>
                                    </w:rPr>
                                    <w:t xml:space="preserve">- «неудовлетворительной» </w:t>
                                  </w:r>
                                  <w:r w:rsidRPr="005159CE">
                                    <w:rPr>
                                      <w:i/>
                                      <w:szCs w:val="21"/>
                                    </w:rPr>
                                    <w:br/>
                                    <w:t xml:space="preserve">                   </w:t>
                                  </w:r>
                                  <w:r w:rsidRPr="005159CE">
                                    <w:rPr>
                                      <w:b/>
                                      <w:i/>
                                      <w:szCs w:val="21"/>
                                    </w:rPr>
                                    <w:t>17</w:t>
                                  </w:r>
                                  <w:r w:rsidRPr="005159CE">
                                    <w:rPr>
                                      <w:i/>
                                      <w:szCs w:val="21"/>
                                    </w:rPr>
                                    <w:t xml:space="preserve">% </w:t>
                                  </w:r>
                                  <w:r w:rsidRPr="005159CE">
                                    <w:rPr>
                                      <w:szCs w:val="21"/>
                                    </w:rPr>
                                    <w:t>руководителей.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35" type="#_x0000_t202" style="position:absolute;margin-left:3.3pt;margin-top:2.2pt;width:212.85pt;height:10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" filled="f" stroked="f">
                      <v:textbox>
                        <w:txbxContent>
                          <w:p w:rsidR="008B12B4" w:rsidRPr="00A2678A" w:rsidRDefault="008B12B4" w:rsidP="00433834">
                            <w:pPr>
                              <w:spacing w:line="216" w:lineRule="auto"/>
                              <w:rPr>
                                <w:szCs w:val="21"/>
                              </w:rPr>
                            </w:pPr>
                            <w:r>
                              <w:rPr>
                                <w:szCs w:val="21"/>
                              </w:rPr>
                              <w:t>По и</w:t>
                            </w:r>
                            <w:r w:rsidRPr="00A2678A">
                              <w:rPr>
                                <w:szCs w:val="21"/>
                              </w:rPr>
                              <w:t>тог</w:t>
                            </w:r>
                            <w:r>
                              <w:rPr>
                                <w:szCs w:val="21"/>
                              </w:rPr>
                              <w:t>ам</w:t>
                            </w:r>
                            <w:r w:rsidRPr="00A2678A">
                              <w:rPr>
                                <w:szCs w:val="21"/>
                              </w:rPr>
                              <w:t xml:space="preserve"> обследования деловой активности промышленных предприятий Тверской области за июнь 2019 года </w:t>
                            </w:r>
                          </w:p>
                          <w:p w:rsidR="008B12B4" w:rsidRPr="00A2678A" w:rsidRDefault="008B12B4" w:rsidP="00433834">
                            <w:pPr>
                              <w:rPr>
                                <w:szCs w:val="21"/>
                              </w:rPr>
                            </w:pPr>
                            <w:r w:rsidRPr="00A2678A">
                              <w:rPr>
                                <w:i/>
                                <w:szCs w:val="21"/>
                                <w:u w:val="single"/>
                                <w14:shadow w14:blurRad="50800" w14:dist="38100" w14:dir="13500000" w14:sx="100000" w14:sy="100000" w14:kx="0" w14:ky="0" w14:algn="br">
                                  <w14:srgbClr w14:val="000000">
                                    <w14:alpha w14:val="60000"/>
                                  </w14:srgbClr>
                                </w14:shadow>
                              </w:rPr>
                              <w:t xml:space="preserve">экономическую ситуацию </w:t>
                            </w:r>
                            <w:r>
                              <w:rPr>
                                <w:i/>
                                <w:szCs w:val="21"/>
                                <w:u w:val="single"/>
                                <w14:shadow w14:blurRad="50800" w14:dist="38100" w14:dir="13500000" w14:sx="100000" w14:sy="100000" w14:kx="0" w14:ky="0" w14:algn="br">
                                  <w14:srgbClr w14:val="000000">
                                    <w14:alpha w14:val="60000"/>
                                  </w14:srgbClr>
                                </w14:shadow>
                              </w:rPr>
                              <w:t>считают</w:t>
                            </w:r>
                          </w:p>
                          <w:p w:rsidR="008B12B4" w:rsidRPr="005159CE" w:rsidRDefault="008B12B4" w:rsidP="00433834">
                            <w:pPr>
                              <w:rPr>
                                <w:szCs w:val="21"/>
                              </w:rPr>
                            </w:pPr>
                            <w:r w:rsidRPr="005159CE">
                              <w:rPr>
                                <w:i/>
                                <w:szCs w:val="21"/>
                              </w:rPr>
                              <w:t xml:space="preserve">- «удовлетворительной» </w:t>
                            </w:r>
                            <w:r w:rsidRPr="005159CE">
                              <w:rPr>
                                <w:i/>
                                <w:szCs w:val="21"/>
                              </w:rPr>
                              <w:br/>
                              <w:t xml:space="preserve">  </w:t>
                            </w:r>
                            <w:r w:rsidRPr="005159CE">
                              <w:rPr>
                                <w:b/>
                                <w:i/>
                                <w:szCs w:val="21"/>
                              </w:rPr>
                              <w:t>73</w:t>
                            </w:r>
                            <w:r w:rsidRPr="005159CE">
                              <w:rPr>
                                <w:i/>
                                <w:szCs w:val="21"/>
                              </w:rPr>
                              <w:t xml:space="preserve">% </w:t>
                            </w:r>
                            <w:r w:rsidRPr="005159CE">
                              <w:rPr>
                                <w:szCs w:val="21"/>
                              </w:rPr>
                              <w:t>руководителей,</w:t>
                            </w:r>
                          </w:p>
                          <w:p w:rsidR="008B12B4" w:rsidRPr="005159CE" w:rsidRDefault="008B12B4" w:rsidP="00433834">
                            <w:pPr>
                              <w:rPr>
                                <w:szCs w:val="21"/>
                              </w:rPr>
                            </w:pPr>
                            <w:r>
                              <w:rPr>
                                <w:i/>
                                <w:szCs w:val="21"/>
                              </w:rPr>
                              <w:t xml:space="preserve">                  </w:t>
                            </w:r>
                            <w:r w:rsidRPr="005159CE">
                              <w:rPr>
                                <w:i/>
                                <w:szCs w:val="21"/>
                              </w:rPr>
                              <w:t xml:space="preserve">- «неудовлетворительной» </w:t>
                            </w:r>
                            <w:r w:rsidRPr="005159CE">
                              <w:rPr>
                                <w:i/>
                                <w:szCs w:val="21"/>
                              </w:rPr>
                              <w:br/>
                              <w:t xml:space="preserve">                   </w:t>
                            </w:r>
                            <w:r w:rsidRPr="005159CE">
                              <w:rPr>
                                <w:b/>
                                <w:i/>
                                <w:szCs w:val="21"/>
                              </w:rPr>
                              <w:t>17</w:t>
                            </w:r>
                            <w:r w:rsidRPr="005159CE">
                              <w:rPr>
                                <w:i/>
                                <w:szCs w:val="21"/>
                              </w:rPr>
                              <w:t xml:space="preserve">% </w:t>
                            </w:r>
                            <w:r w:rsidRPr="005159CE">
                              <w:rPr>
                                <w:szCs w:val="21"/>
                              </w:rPr>
                              <w:t>руководителей.</w:t>
                            </w:r>
                          </w:p>
                        </w:txbxContent>
                      </v:textbox>
                    </v:shape>
                  </w:pict>
                </mc:Fallback>
              </mc:AlternateContent>
            </w:r>
            <w:r w:rsidRPr="000022E9">
              <w:rPr>
                <w:b/>
                <w:noProof/>
                <w:color w:val="FF0000"/>
              </w:rPr>
              <mc:AlternateContent>
                <mc:Choice Requires="wps">
                  <w:drawing>
                    <wp:anchor distT="0" distB="0" distL="114300" distR="114300" simplePos="0" relativeHeight="251734016" behindDoc="0" locked="0" layoutInCell="1" allowOverlap="1" wp14:anchorId="13C8D6FC" wp14:editId="1AEC4D9A">
                      <wp:simplePos x="0" y="0"/>
                      <wp:positionH relativeFrom="column">
                        <wp:posOffset>41275</wp:posOffset>
                      </wp:positionH>
                      <wp:positionV relativeFrom="paragraph">
                        <wp:posOffset>28575</wp:posOffset>
                      </wp:positionV>
                      <wp:extent cx="2631440" cy="1518285"/>
                      <wp:effectExtent l="0" t="0" r="16510" b="5715"/>
                      <wp:wrapNone/>
                      <wp:docPr id="9" name="Блок-схема: документ 9"/>
                      <wp:cNvGraphicFramePr/>
                      <a:graphic xmlns:a="http://schemas.openxmlformats.org/drawingml/2006/main">
                        <a:graphicData uri="http://schemas.microsoft.com/office/word/2010/wordprocessingShape">
                          <wps:wsp>
                            <wps:cNvSpPr/>
                            <wps:spPr>
                              <a:xfrm>
                                <a:off x="0" y="0"/>
                                <a:ext cx="2631440" cy="1518285"/>
                              </a:xfrm>
                              <a:prstGeom prst="flowChartDocument">
                                <a:avLst/>
                              </a:prstGeom>
                              <a:solidFill>
                                <a:srgbClr val="4F81BD">
                                  <a:lumMod val="20000"/>
                                  <a:lumOff val="80000"/>
                                  <a:alpha val="87000"/>
                                </a:srgbClr>
                              </a:solidFill>
                              <a:ln w="9525" cap="flat" cmpd="sng" algn="ctr">
                                <a:solidFill>
                                  <a:srgbClr val="1F497D"/>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9" o:spid="_x0000_s1026" type="#_x0000_t114" style="position:absolute;margin-left:3.25pt;margin-top:2.25pt;width:207.2pt;height:119.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" fillcolor="#dce6f2" strokecolor="#1f497d">
                      <v:fill opacity="57054f"/>
                      <v:stroke dashstyle="1 1"/>
                    </v:shape>
                  </w:pict>
                </mc:Fallback>
              </mc:AlternateContent>
            </w:r>
          </w:p>
          <w:p w:rsidR="00433834" w:rsidRDefault="00433834" w:rsidP="006B2DDA">
            <w:pPr>
              <w:spacing w:line="204" w:lineRule="auto"/>
              <w:rPr>
                <w:color w:val="FF0000"/>
                <w:sz w:val="22"/>
                <w:szCs w:val="22"/>
              </w:rPr>
            </w:pPr>
          </w:p>
          <w:p w:rsidR="00433834" w:rsidRDefault="00433834" w:rsidP="006B2DDA">
            <w:pPr>
              <w:spacing w:line="204" w:lineRule="auto"/>
              <w:rPr>
                <w:color w:val="FF0000"/>
                <w:sz w:val="22"/>
                <w:szCs w:val="22"/>
              </w:rPr>
            </w:pPr>
          </w:p>
          <w:p w:rsidR="00433834" w:rsidRPr="000022E9" w:rsidRDefault="00433834" w:rsidP="006B2DDA">
            <w:pPr>
              <w:spacing w:line="204" w:lineRule="auto"/>
              <w:rPr>
                <w:b/>
                <w:color w:val="FF0000"/>
              </w:rPr>
            </w:pPr>
          </w:p>
        </w:tc>
      </w:tr>
      <w:tr w:rsidR="00433834" w:rsidRPr="000022E9" w:rsidTr="006B2DDA">
        <w:trPr>
          <w:trHeight w:val="1183"/>
        </w:trPr>
        <w:tc>
          <w:tcPr>
            <w:tcW w:w="5529" w:type="dxa"/>
            <w:gridSpan w:val="6"/>
            <w:tcBorders>
              <w:top w:val="single" w:sz="4" w:space="0" w:color="auto"/>
              <w:left w:val="nil"/>
              <w:bottom w:val="single" w:sz="4" w:space="0" w:color="auto"/>
              <w:right w:val="single" w:sz="4" w:space="0" w:color="auto"/>
            </w:tcBorders>
          </w:tcPr>
          <w:p w:rsidR="00433834" w:rsidRPr="00A31F9C" w:rsidRDefault="00433834" w:rsidP="006B2DDA">
            <w:pPr>
              <w:spacing w:line="204" w:lineRule="auto"/>
              <w:rPr>
                <w:b/>
                <w:sz w:val="22"/>
                <w:szCs w:val="22"/>
              </w:rPr>
            </w:pPr>
            <w:r w:rsidRPr="00A31F9C">
              <w:rPr>
                <w:b/>
                <w:sz w:val="22"/>
                <w:szCs w:val="22"/>
              </w:rPr>
              <w:t>прочих транспортных средств и оборудования (125,8%)</w:t>
            </w:r>
          </w:p>
          <w:p w:rsidR="00433834" w:rsidRPr="00A31F9C" w:rsidRDefault="00433834" w:rsidP="006B2DDA">
            <w:pPr>
              <w:rPr>
                <w:sz w:val="22"/>
                <w:szCs w:val="22"/>
              </w:rPr>
            </w:pPr>
            <w:r w:rsidRPr="00A31F9C">
              <w:rPr>
                <w:sz w:val="22"/>
                <w:szCs w:val="22"/>
              </w:rPr>
              <w:t xml:space="preserve">ОАО «Тверской вагоностроительный завод», </w:t>
            </w:r>
          </w:p>
          <w:p w:rsidR="00433834" w:rsidRPr="00A31F9C" w:rsidRDefault="00433834" w:rsidP="006B2DDA">
            <w:pPr>
              <w:rPr>
                <w:sz w:val="22"/>
                <w:szCs w:val="22"/>
              </w:rPr>
            </w:pPr>
            <w:r w:rsidRPr="00A31F9C">
              <w:rPr>
                <w:sz w:val="22"/>
                <w:szCs w:val="22"/>
              </w:rPr>
              <w:t xml:space="preserve">АО «РИТМ» ТПТА, ТОСП ООО «ПК ТС» </w:t>
            </w:r>
            <w:proofErr w:type="spellStart"/>
            <w:r w:rsidRPr="00A31F9C">
              <w:rPr>
                <w:sz w:val="22"/>
                <w:szCs w:val="22"/>
              </w:rPr>
              <w:t>г</w:t>
            </w:r>
            <w:proofErr w:type="gramStart"/>
            <w:r w:rsidRPr="00A31F9C">
              <w:rPr>
                <w:sz w:val="22"/>
                <w:szCs w:val="22"/>
              </w:rPr>
              <w:t>.Т</w:t>
            </w:r>
            <w:proofErr w:type="gramEnd"/>
            <w:r w:rsidRPr="00A31F9C">
              <w:rPr>
                <w:sz w:val="22"/>
                <w:szCs w:val="22"/>
              </w:rPr>
              <w:t>верь</w:t>
            </w:r>
            <w:proofErr w:type="spellEnd"/>
            <w:r w:rsidRPr="00A31F9C">
              <w:rPr>
                <w:sz w:val="22"/>
                <w:szCs w:val="22"/>
              </w:rPr>
              <w:t xml:space="preserve">, </w:t>
            </w:r>
          </w:p>
          <w:p w:rsidR="00433834" w:rsidRPr="00A31F9C" w:rsidRDefault="00433834" w:rsidP="006B2DDA">
            <w:pPr>
              <w:rPr>
                <w:sz w:val="22"/>
                <w:szCs w:val="22"/>
              </w:rPr>
            </w:pPr>
            <w:r w:rsidRPr="00A31F9C">
              <w:rPr>
                <w:sz w:val="22"/>
                <w:szCs w:val="22"/>
              </w:rPr>
              <w:t>ЗАО «</w:t>
            </w:r>
            <w:proofErr w:type="spellStart"/>
            <w:r w:rsidRPr="00A31F9C">
              <w:rPr>
                <w:sz w:val="22"/>
                <w:szCs w:val="22"/>
              </w:rPr>
              <w:t>Вагонкомплект</w:t>
            </w:r>
            <w:proofErr w:type="spellEnd"/>
            <w:r w:rsidRPr="00A31F9C">
              <w:rPr>
                <w:sz w:val="22"/>
                <w:szCs w:val="22"/>
              </w:rPr>
              <w:t>», ООО «НПП «Система»</w:t>
            </w:r>
          </w:p>
        </w:tc>
        <w:tc>
          <w:tcPr>
            <w:tcW w:w="4678" w:type="dxa"/>
            <w:gridSpan w:val="6"/>
            <w:vMerge/>
            <w:tcBorders>
              <w:top w:val="single" w:sz="4" w:space="0" w:color="auto"/>
              <w:left w:val="single" w:sz="4" w:space="0" w:color="auto"/>
              <w:right w:val="nil"/>
            </w:tcBorders>
          </w:tcPr>
          <w:p w:rsidR="00433834" w:rsidRPr="000022E9" w:rsidRDefault="00433834" w:rsidP="006B2DDA">
            <w:pPr>
              <w:spacing w:line="204" w:lineRule="auto"/>
              <w:rPr>
                <w:b/>
                <w:color w:val="FF0000"/>
              </w:rPr>
            </w:pPr>
          </w:p>
        </w:tc>
      </w:tr>
      <w:tr w:rsidR="00433834" w:rsidRPr="000022E9" w:rsidTr="006B2DDA">
        <w:trPr>
          <w:trHeight w:val="711"/>
        </w:trPr>
        <w:tc>
          <w:tcPr>
            <w:tcW w:w="5529" w:type="dxa"/>
            <w:gridSpan w:val="6"/>
            <w:tcBorders>
              <w:top w:val="single" w:sz="4" w:space="0" w:color="auto"/>
              <w:left w:val="nil"/>
              <w:right w:val="single" w:sz="4" w:space="0" w:color="auto"/>
            </w:tcBorders>
          </w:tcPr>
          <w:p w:rsidR="00433834" w:rsidRPr="00A31F9C" w:rsidRDefault="00433834" w:rsidP="006B2DDA">
            <w:pPr>
              <w:tabs>
                <w:tab w:val="left" w:pos="4671"/>
              </w:tabs>
              <w:spacing w:line="204" w:lineRule="auto"/>
              <w:rPr>
                <w:b/>
                <w:sz w:val="22"/>
                <w:szCs w:val="22"/>
              </w:rPr>
            </w:pPr>
            <w:r w:rsidRPr="00A31F9C">
              <w:rPr>
                <w:b/>
                <w:sz w:val="22"/>
                <w:szCs w:val="22"/>
              </w:rPr>
              <w:t>готовых металлических изделий (119,4%)</w:t>
            </w:r>
            <w:r w:rsidRPr="00A31F9C">
              <w:rPr>
                <w:b/>
                <w:sz w:val="22"/>
                <w:szCs w:val="22"/>
              </w:rPr>
              <w:tab/>
            </w:r>
          </w:p>
          <w:p w:rsidR="00433834" w:rsidRPr="00A31F9C" w:rsidRDefault="00433834" w:rsidP="006B2DDA">
            <w:pPr>
              <w:spacing w:line="204" w:lineRule="auto"/>
              <w:rPr>
                <w:sz w:val="22"/>
                <w:szCs w:val="22"/>
              </w:rPr>
            </w:pPr>
            <w:r w:rsidRPr="00A31F9C">
              <w:rPr>
                <w:sz w:val="22"/>
                <w:szCs w:val="22"/>
              </w:rPr>
              <w:t>ОАО «КПП», ЗАО «</w:t>
            </w:r>
            <w:proofErr w:type="spellStart"/>
            <w:r w:rsidRPr="00A31F9C">
              <w:rPr>
                <w:sz w:val="22"/>
                <w:szCs w:val="22"/>
              </w:rPr>
              <w:t>Фодеско</w:t>
            </w:r>
            <w:proofErr w:type="spellEnd"/>
            <w:r w:rsidRPr="00A31F9C">
              <w:rPr>
                <w:sz w:val="22"/>
                <w:szCs w:val="22"/>
              </w:rPr>
              <w:t xml:space="preserve">-Мак», </w:t>
            </w:r>
          </w:p>
          <w:p w:rsidR="00433834" w:rsidRPr="000022E9" w:rsidRDefault="00433834" w:rsidP="006B2DDA">
            <w:pPr>
              <w:spacing w:line="216" w:lineRule="auto"/>
              <w:rPr>
                <w:color w:val="FF0000"/>
                <w:sz w:val="22"/>
                <w:szCs w:val="22"/>
              </w:rPr>
            </w:pPr>
            <w:r w:rsidRPr="00A31F9C">
              <w:rPr>
                <w:sz w:val="22"/>
                <w:szCs w:val="22"/>
              </w:rPr>
              <w:t>ТОСП АО «Северсталь Дистрибуция» в г. Тверь</w:t>
            </w:r>
          </w:p>
        </w:tc>
        <w:tc>
          <w:tcPr>
            <w:tcW w:w="4678" w:type="dxa"/>
            <w:gridSpan w:val="6"/>
            <w:vMerge/>
            <w:tcBorders>
              <w:left w:val="single" w:sz="4" w:space="0" w:color="auto"/>
              <w:right w:val="nil"/>
            </w:tcBorders>
          </w:tcPr>
          <w:p w:rsidR="00433834" w:rsidRPr="000022E9" w:rsidRDefault="00433834" w:rsidP="006B2DDA">
            <w:pPr>
              <w:spacing w:line="204" w:lineRule="auto"/>
              <w:rPr>
                <w:b/>
                <w:color w:val="FF0000"/>
                <w:sz w:val="22"/>
                <w:szCs w:val="22"/>
              </w:rPr>
            </w:pPr>
          </w:p>
        </w:tc>
      </w:tr>
    </w:tbl>
    <w:p w:rsidR="00433834" w:rsidRPr="00CB36CE" w:rsidRDefault="00433834" w:rsidP="00433834">
      <w:pPr>
        <w:spacing w:line="312" w:lineRule="auto"/>
        <w:ind w:right="-1" w:firstLine="709"/>
        <w:jc w:val="both"/>
        <w:rPr>
          <w:sz w:val="14"/>
          <w:szCs w:val="24"/>
        </w:rPr>
      </w:pPr>
    </w:p>
    <w:p w:rsidR="00433834" w:rsidRPr="009E42FB" w:rsidRDefault="00433834" w:rsidP="00433834">
      <w:pPr>
        <w:spacing w:line="288" w:lineRule="auto"/>
        <w:ind w:right="-1" w:firstLine="709"/>
        <w:jc w:val="both"/>
        <w:rPr>
          <w:sz w:val="24"/>
          <w:szCs w:val="24"/>
        </w:rPr>
      </w:pPr>
      <w:r w:rsidRPr="009E42FB">
        <w:rPr>
          <w:sz w:val="24"/>
          <w:szCs w:val="24"/>
        </w:rPr>
        <w:t xml:space="preserve">Объем промышленной деятельности по обеспечению электрической энергией, газом и паром, кондиционированию воздуха по сравнению с прошлогодним периодом увеличился на 2,1% в действующих ценах; по водоснабжению, водоотведению, организации сбора и утилизации отходов, деятельности по ликвидации загрязнений - на 39,2%. </w:t>
      </w:r>
    </w:p>
    <w:p w:rsidR="002D4551" w:rsidRDefault="00433834" w:rsidP="002D4551">
      <w:pPr>
        <w:spacing w:line="288" w:lineRule="auto"/>
        <w:ind w:right="-1" w:firstLine="708"/>
        <w:jc w:val="both"/>
        <w:rPr>
          <w:sz w:val="24"/>
          <w:szCs w:val="28"/>
        </w:rPr>
      </w:pPr>
      <w:r w:rsidRPr="009E42FB">
        <w:rPr>
          <w:sz w:val="24"/>
          <w:szCs w:val="28"/>
        </w:rPr>
        <w:t>Вместе с тем, оценка деловой активности в промышленном секторе свидетельствует о наличии негативных факторов, ограничивающих рост производства продукции, в числе основных: высокий уровень налогообложения, неопределенность экономической ситуации, недостаточный спрос на продукцию предприятий на внутреннем рынке, недостаток финансовых</w:t>
      </w:r>
      <w:r w:rsidRPr="00CA2365">
        <w:rPr>
          <w:sz w:val="24"/>
          <w:szCs w:val="28"/>
        </w:rPr>
        <w:t xml:space="preserve"> средств</w:t>
      </w:r>
      <w:r>
        <w:rPr>
          <w:sz w:val="24"/>
          <w:szCs w:val="28"/>
        </w:rPr>
        <w:t>, недостаток</w:t>
      </w:r>
      <w:r w:rsidRPr="00072920">
        <w:rPr>
          <w:color w:val="1F497D" w:themeColor="text2"/>
          <w:sz w:val="24"/>
          <w:szCs w:val="24"/>
        </w:rPr>
        <w:t xml:space="preserve"> </w:t>
      </w:r>
      <w:r w:rsidRPr="00072920">
        <w:rPr>
          <w:sz w:val="24"/>
          <w:szCs w:val="28"/>
        </w:rPr>
        <w:t>квалифицированных кадров</w:t>
      </w:r>
      <w:r w:rsidRPr="00CA2365">
        <w:rPr>
          <w:sz w:val="24"/>
          <w:szCs w:val="28"/>
        </w:rPr>
        <w:t>. Средний уровень загрузки производственных мощностей в июне 2019 года составил 67%.</w:t>
      </w:r>
    </w:p>
    <w:p w:rsidR="002D4551" w:rsidRDefault="00433834" w:rsidP="002D4551">
      <w:pPr>
        <w:spacing w:line="288" w:lineRule="auto"/>
        <w:ind w:right="-1" w:firstLine="708"/>
        <w:jc w:val="both"/>
        <w:rPr>
          <w:sz w:val="24"/>
          <w:szCs w:val="28"/>
        </w:rPr>
      </w:pPr>
      <w:r w:rsidRPr="00E7691C">
        <w:rPr>
          <w:sz w:val="24"/>
          <w:szCs w:val="24"/>
        </w:rPr>
        <w:t>Укрепление промышленного потенциала, поддержка модернизации производств, реализация инвестиционных проектов и создание предприятий, выпускающих новые виды конкурентоспособной продукции – приоритетные направления работы по развитию экономики города Твери</w:t>
      </w:r>
      <w:r>
        <w:rPr>
          <w:sz w:val="24"/>
          <w:szCs w:val="24"/>
        </w:rPr>
        <w:t>.</w:t>
      </w:r>
    </w:p>
    <w:p w:rsidR="002D4551" w:rsidRDefault="00433834" w:rsidP="002D4551">
      <w:pPr>
        <w:spacing w:line="288" w:lineRule="auto"/>
        <w:ind w:right="-1" w:firstLine="708"/>
        <w:jc w:val="both"/>
        <w:rPr>
          <w:sz w:val="24"/>
          <w:szCs w:val="28"/>
        </w:rPr>
      </w:pPr>
      <w:r w:rsidRPr="00B436B1">
        <w:rPr>
          <w:sz w:val="24"/>
          <w:szCs w:val="24"/>
        </w:rPr>
        <w:t xml:space="preserve">В прогнозируемом периоде 2020-2022 годов флагманы тверской промышленности сохранят свои лидирующие позиции. Машиностроение и металлообработка, пищевая промышленность, химические и резиновые производства, электроэнергетика, строительные материалы – сферы инвестиционной активности. В перспективе промышленный потенциал будет развиваться за счет модернизации и расширения действующих производств и появления новых. </w:t>
      </w:r>
    </w:p>
    <w:p w:rsidR="00433834" w:rsidRPr="002D4551" w:rsidRDefault="00433834" w:rsidP="002D4551">
      <w:pPr>
        <w:spacing w:line="288" w:lineRule="auto"/>
        <w:ind w:right="-1" w:firstLine="708"/>
        <w:jc w:val="both"/>
        <w:rPr>
          <w:sz w:val="24"/>
          <w:szCs w:val="28"/>
        </w:rPr>
      </w:pPr>
      <w:r w:rsidRPr="002F2D50">
        <w:rPr>
          <w:sz w:val="24"/>
          <w:szCs w:val="24"/>
        </w:rPr>
        <w:t xml:space="preserve">О намерениях выпускать новую продукцию заявили ряд предприятий. Среди них: </w:t>
      </w:r>
      <w:r w:rsidR="00151A1C">
        <w:rPr>
          <w:sz w:val="24"/>
          <w:szCs w:val="24"/>
        </w:rPr>
        <w:br/>
      </w:r>
      <w:proofErr w:type="gramStart"/>
      <w:r w:rsidRPr="002F2D50">
        <w:rPr>
          <w:sz w:val="24"/>
          <w:szCs w:val="24"/>
        </w:rPr>
        <w:t xml:space="preserve">ОАО «Тверской вагоностроительный завод», АО «Диэлектрические кабельные системы», </w:t>
      </w:r>
      <w:r w:rsidR="00151A1C">
        <w:rPr>
          <w:sz w:val="24"/>
          <w:szCs w:val="24"/>
        </w:rPr>
        <w:br/>
      </w:r>
      <w:r w:rsidRPr="002F2D50">
        <w:rPr>
          <w:sz w:val="24"/>
          <w:szCs w:val="24"/>
        </w:rPr>
        <w:t>ООО «ДКС-развитие», ООО «Система 5», ООО «ЛЕМ Росси</w:t>
      </w:r>
      <w:r>
        <w:rPr>
          <w:sz w:val="24"/>
          <w:szCs w:val="24"/>
        </w:rPr>
        <w:t xml:space="preserve">я», ЗАО «Тверской экскаватор», </w:t>
      </w:r>
      <w:r w:rsidR="00151A1C">
        <w:rPr>
          <w:sz w:val="24"/>
          <w:szCs w:val="24"/>
        </w:rPr>
        <w:br/>
      </w:r>
      <w:r w:rsidRPr="002F2D50">
        <w:rPr>
          <w:sz w:val="24"/>
          <w:szCs w:val="24"/>
        </w:rPr>
        <w:t>ЗАО «Хлеб», Тверской филиал ООО «</w:t>
      </w:r>
      <w:proofErr w:type="spellStart"/>
      <w:r w:rsidRPr="002F2D50">
        <w:rPr>
          <w:sz w:val="24"/>
          <w:szCs w:val="24"/>
        </w:rPr>
        <w:t>Гематек</w:t>
      </w:r>
      <w:proofErr w:type="spellEnd"/>
      <w:r w:rsidRPr="002F2D50">
        <w:rPr>
          <w:sz w:val="24"/>
          <w:szCs w:val="24"/>
        </w:rPr>
        <w:t>» и другие.</w:t>
      </w:r>
      <w:proofErr w:type="gramEnd"/>
      <w:r w:rsidRPr="00D570A9">
        <w:rPr>
          <w:color w:val="1F497D" w:themeColor="text2"/>
        </w:rPr>
        <w:t xml:space="preserve"> </w:t>
      </w:r>
      <w:r w:rsidRPr="00D570A9">
        <w:rPr>
          <w:sz w:val="24"/>
          <w:szCs w:val="24"/>
        </w:rPr>
        <w:t xml:space="preserve">Рост объемных показателей прогнозируют и другие </w:t>
      </w:r>
      <w:r>
        <w:rPr>
          <w:sz w:val="24"/>
          <w:szCs w:val="24"/>
        </w:rPr>
        <w:t>организации</w:t>
      </w:r>
      <w:r w:rsidRPr="00D570A9">
        <w:rPr>
          <w:sz w:val="24"/>
          <w:szCs w:val="24"/>
        </w:rPr>
        <w:t>. Пока это сдержанная положительная динамика, обусловленная возможностями предприятий по выпуску продукции в условиях ожидания улучшения макроэкономической ситуации в стране и наличием достаточной материально-технической базы, квалифицированных кадров, необходимой инфраструктуры.</w:t>
      </w:r>
    </w:p>
    <w:p w:rsidR="00433834" w:rsidRPr="00433834" w:rsidRDefault="00433834" w:rsidP="00433834">
      <w:pPr>
        <w:widowControl w:val="0"/>
        <w:spacing w:line="288" w:lineRule="auto"/>
        <w:ind w:firstLine="709"/>
        <w:jc w:val="both"/>
        <w:rPr>
          <w:sz w:val="24"/>
          <w:szCs w:val="24"/>
        </w:rPr>
      </w:pPr>
      <w:r w:rsidRPr="0031235A">
        <w:rPr>
          <w:sz w:val="24"/>
          <w:szCs w:val="24"/>
        </w:rPr>
        <w:t>Исходя из прогнозируемых тенденций и сведений промышленных предприятий города Твери</w:t>
      </w:r>
      <w:r>
        <w:rPr>
          <w:sz w:val="24"/>
          <w:szCs w:val="24"/>
        </w:rPr>
        <w:t>,</w:t>
      </w:r>
      <w:r w:rsidRPr="0031235A">
        <w:rPr>
          <w:sz w:val="24"/>
          <w:szCs w:val="24"/>
        </w:rPr>
        <w:t xml:space="preserve"> в 2019 году объем производства оценивается в 125,1% </w:t>
      </w:r>
      <w:r>
        <w:rPr>
          <w:sz w:val="24"/>
          <w:szCs w:val="24"/>
        </w:rPr>
        <w:t>в действующих ценах к 2018 году, в плановом периоде</w:t>
      </w:r>
      <w:r w:rsidRPr="0031235A">
        <w:rPr>
          <w:sz w:val="24"/>
          <w:szCs w:val="24"/>
        </w:rPr>
        <w:t xml:space="preserve"> 2020–202</w:t>
      </w:r>
      <w:r>
        <w:rPr>
          <w:sz w:val="24"/>
          <w:szCs w:val="24"/>
        </w:rPr>
        <w:t>5</w:t>
      </w:r>
      <w:r w:rsidRPr="0031235A">
        <w:rPr>
          <w:sz w:val="24"/>
          <w:szCs w:val="24"/>
        </w:rPr>
        <w:t xml:space="preserve"> годах экономический рост продолжится, но его темпы останутся невысокими </w:t>
      </w:r>
      <w:r w:rsidRPr="00433834">
        <w:rPr>
          <w:sz w:val="24"/>
          <w:szCs w:val="24"/>
        </w:rPr>
        <w:t>– соответственно 107,0%, 105,7%, 108,2%, 103,9%, 10</w:t>
      </w:r>
      <w:r>
        <w:rPr>
          <w:sz w:val="24"/>
          <w:szCs w:val="24"/>
        </w:rPr>
        <w:t>3</w:t>
      </w:r>
      <w:r w:rsidRPr="00433834">
        <w:rPr>
          <w:sz w:val="24"/>
          <w:szCs w:val="24"/>
        </w:rPr>
        <w:t>,9%, 103,9%.</w:t>
      </w:r>
    </w:p>
    <w:p w:rsidR="00E86FEE" w:rsidRPr="00151A1C" w:rsidRDefault="00E86FEE" w:rsidP="00D80ECF">
      <w:pPr>
        <w:widowControl w:val="0"/>
        <w:spacing w:line="288" w:lineRule="auto"/>
        <w:contextualSpacing/>
        <w:jc w:val="both"/>
        <w:rPr>
          <w:b/>
          <w:sz w:val="24"/>
          <w:szCs w:val="24"/>
        </w:rPr>
      </w:pPr>
      <w:r w:rsidRPr="00151A1C">
        <w:rPr>
          <w:b/>
          <w:sz w:val="24"/>
          <w:szCs w:val="24"/>
        </w:rPr>
        <w:lastRenderedPageBreak/>
        <w:t>3. Фонд оплаты труда</w:t>
      </w:r>
    </w:p>
    <w:p w:rsidR="00235EAA" w:rsidRPr="00151A1C" w:rsidRDefault="00235EAA" w:rsidP="00D80ECF">
      <w:pPr>
        <w:widowControl w:val="0"/>
        <w:spacing w:line="288" w:lineRule="auto"/>
        <w:contextualSpacing/>
        <w:jc w:val="both"/>
        <w:rPr>
          <w:sz w:val="10"/>
          <w:szCs w:val="24"/>
        </w:rPr>
      </w:pPr>
    </w:p>
    <w:p w:rsidR="009C5522" w:rsidRPr="00966AE1" w:rsidRDefault="009C5522" w:rsidP="009C5522">
      <w:pPr>
        <w:spacing w:line="288" w:lineRule="auto"/>
        <w:ind w:firstLine="709"/>
        <w:jc w:val="both"/>
        <w:rPr>
          <w:rFonts w:eastAsia="Calibri"/>
          <w:sz w:val="24"/>
          <w:szCs w:val="24"/>
        </w:rPr>
      </w:pPr>
      <w:r w:rsidRPr="00151A1C">
        <w:rPr>
          <w:sz w:val="24"/>
          <w:szCs w:val="24"/>
        </w:rPr>
        <w:t xml:space="preserve">Стабильность производственно-финансовой деятельности экономики города Твери в 2018 году создала </w:t>
      </w:r>
      <w:r w:rsidRPr="00966AE1">
        <w:rPr>
          <w:sz w:val="24"/>
          <w:szCs w:val="24"/>
        </w:rPr>
        <w:t xml:space="preserve">реальные условия для повышения уровня занятости населения и </w:t>
      </w:r>
      <w:r w:rsidR="000E2D8D">
        <w:rPr>
          <w:sz w:val="24"/>
          <w:szCs w:val="24"/>
        </w:rPr>
        <w:t xml:space="preserve">фонда </w:t>
      </w:r>
      <w:r w:rsidRPr="00966AE1">
        <w:rPr>
          <w:sz w:val="24"/>
          <w:szCs w:val="24"/>
        </w:rPr>
        <w:t xml:space="preserve">оплаты труда работников. Темпы роста заработной платы опережали инфляцию. Согласно официальным данным </w:t>
      </w:r>
      <w:proofErr w:type="spellStart"/>
      <w:r w:rsidRPr="00966AE1">
        <w:rPr>
          <w:sz w:val="24"/>
          <w:szCs w:val="24"/>
        </w:rPr>
        <w:t>Тверьстата</w:t>
      </w:r>
      <w:proofErr w:type="spellEnd"/>
      <w:r w:rsidRPr="00966AE1">
        <w:rPr>
          <w:sz w:val="24"/>
          <w:szCs w:val="24"/>
        </w:rPr>
        <w:t>, при годовой инфляции в 2,3% номинальный размер заработной платы работников крупных и средних организаций города Твери</w:t>
      </w:r>
      <w:r w:rsidRPr="00966AE1">
        <w:rPr>
          <w:sz w:val="24"/>
          <w:szCs w:val="24"/>
          <w14:shadow w14:blurRad="50800" w14:dist="38100" w14:dir="13500000" w14:sx="100000" w14:sy="100000" w14:kx="0" w14:ky="0" w14:algn="br">
            <w14:srgbClr w14:val="000000">
              <w14:alpha w14:val="60000"/>
            </w14:srgbClr>
          </w14:shadow>
        </w:rPr>
        <w:t xml:space="preserve"> </w:t>
      </w:r>
      <w:r w:rsidRPr="00966AE1">
        <w:rPr>
          <w:sz w:val="24"/>
          <w:szCs w:val="24"/>
        </w:rPr>
        <w:t>увеличился в 2018 году на 11,4% до 40,3 тыс. рублей (</w:t>
      </w:r>
      <w:r w:rsidRPr="00966AE1">
        <w:rPr>
          <w:i/>
          <w:sz w:val="24"/>
          <w:szCs w:val="24"/>
        </w:rPr>
        <w:t>для сведения:</w:t>
      </w:r>
      <w:r w:rsidRPr="00966AE1">
        <w:rPr>
          <w:sz w:val="24"/>
          <w:szCs w:val="24"/>
        </w:rPr>
        <w:t xml:space="preserve"> в Тверской области – на 10,9% до 34,5 тыс. рублей).</w:t>
      </w:r>
      <w:r w:rsidRPr="00966AE1">
        <w:rPr>
          <w:rFonts w:eastAsia="Calibri"/>
          <w:sz w:val="24"/>
          <w:szCs w:val="24"/>
        </w:rPr>
        <w:t xml:space="preserve"> </w:t>
      </w:r>
    </w:p>
    <w:p w:rsidR="009C5522" w:rsidRPr="00966AE1" w:rsidRDefault="009C5522" w:rsidP="009C5522">
      <w:pPr>
        <w:kinsoku w:val="0"/>
        <w:overflowPunct w:val="0"/>
        <w:spacing w:line="288" w:lineRule="auto"/>
        <w:ind w:firstLine="706"/>
        <w:jc w:val="both"/>
        <w:textAlignment w:val="baseline"/>
        <w:rPr>
          <w:rFonts w:eastAsia="Calibri"/>
          <w:kern w:val="24"/>
          <w:sz w:val="24"/>
          <w:szCs w:val="32"/>
        </w:rPr>
      </w:pPr>
      <w:r w:rsidRPr="00966AE1">
        <w:rPr>
          <w:rFonts w:eastAsia="Calibri"/>
          <w:kern w:val="24"/>
          <w:sz w:val="24"/>
          <w:szCs w:val="32"/>
        </w:rPr>
        <w:t xml:space="preserve">Уровень оплаты труда менялся в зависимости от вида экономической деятельности, как в денежном выражении, так и по темпам роста. В ряде случаев разница в номинальном размере заработной платы работников достигала двух и более раз. </w:t>
      </w:r>
    </w:p>
    <w:p w:rsidR="009C5522" w:rsidRPr="00966AE1" w:rsidRDefault="009C5522" w:rsidP="009C5522">
      <w:pPr>
        <w:spacing w:line="288" w:lineRule="auto"/>
        <w:ind w:firstLine="709"/>
        <w:jc w:val="both"/>
        <w:rPr>
          <w:rFonts w:eastAsia="+mn-ea"/>
          <w:bCs/>
          <w:kern w:val="24"/>
          <w:sz w:val="24"/>
          <w:szCs w:val="28"/>
        </w:rPr>
      </w:pPr>
      <w:r w:rsidRPr="00966AE1">
        <w:rPr>
          <w:rFonts w:eastAsia="+mn-ea"/>
          <w:bCs/>
          <w:kern w:val="24"/>
          <w:sz w:val="24"/>
          <w:szCs w:val="28"/>
        </w:rPr>
        <w:t xml:space="preserve">Наиболее высокие темпы роста заработной платы работников наблюдались в обрабатывающих производствах (114,4% к 2017 году), организациях строительства (121,4%), торговли и ремонта автотранспортных средств (119,1%), гостиниц и на предприятиях общественного питания (118,5%), в организациях, связанных с административной деятельностью (115,3%), учреждениях образования (113,1%) и здравоохранения (123,5%).  </w:t>
      </w:r>
    </w:p>
    <w:p w:rsidR="009C5522" w:rsidRPr="00966AE1" w:rsidRDefault="009C5522" w:rsidP="009C5522">
      <w:pPr>
        <w:kinsoku w:val="0"/>
        <w:overflowPunct w:val="0"/>
        <w:jc w:val="both"/>
        <w:textAlignment w:val="baseline"/>
        <w:rPr>
          <w:rFonts w:eastAsia="Calibri"/>
          <w:color w:val="0070C0"/>
          <w:kern w:val="24"/>
          <w:sz w:val="18"/>
          <w:szCs w:val="32"/>
        </w:rPr>
      </w:pPr>
    </w:p>
    <w:p w:rsidR="009C5522" w:rsidRPr="00966AE1" w:rsidRDefault="00B95F80" w:rsidP="009C5522">
      <w:pPr>
        <w:jc w:val="center"/>
        <w:rPr>
          <w:b/>
          <w:i/>
          <w:sz w:val="16"/>
          <w:szCs w:val="24"/>
        </w:rPr>
      </w:pPr>
      <w:r>
        <w:rPr>
          <w:rFonts w:eastAsia="Calibri"/>
          <w:noProof/>
          <w:color w:val="0070C0"/>
          <w:kern w:val="24"/>
          <w:sz w:val="24"/>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2" o:spid="_x0000_s1027" type="#_x0000_t75" alt="Светлый диагональный 2" style="position:absolute;left:0;text-align:left;margin-left:-5.35pt;margin-top:37.5pt;width:489.7pt;height:310.7pt;z-index:251717632;visibility:visible;mso-position-vertical:absolute">
            <v:imagedata r:id="rId19" o:title="Светлый диагональный 2"/>
            <w10:wrap type="square"/>
          </v:shape>
          <o:OLEObject Type="Embed" ProgID="MSGraph.Chart.8" ShapeID="Объект 2" DrawAspect="Content" ObjectID="_1631691646" r:id="rId20">
            <o:FieldCodes>\s</o:FieldCodes>
          </o:OLEObject>
        </w:pict>
      </w:r>
      <w:r w:rsidR="009C5522" w:rsidRPr="00966AE1">
        <w:rPr>
          <w:rFonts w:ascii="Arial" w:hAnsi="Arial" w:cs="Arial"/>
          <w:noProof/>
          <w:sz w:val="2"/>
          <w:szCs w:val="2"/>
        </w:rPr>
        <w:drawing>
          <wp:anchor distT="0" distB="0" distL="114300" distR="114300" simplePos="0" relativeHeight="251718656" behindDoc="0" locked="0" layoutInCell="1" allowOverlap="1" wp14:anchorId="0504C88B" wp14:editId="238E3299">
            <wp:simplePos x="0" y="0"/>
            <wp:positionH relativeFrom="column">
              <wp:posOffset>1436370</wp:posOffset>
            </wp:positionH>
            <wp:positionV relativeFrom="paragraph">
              <wp:posOffset>356870</wp:posOffset>
            </wp:positionV>
            <wp:extent cx="365760" cy="374650"/>
            <wp:effectExtent l="0" t="0" r="0" b="6350"/>
            <wp:wrapNone/>
            <wp:docPr id="19" name="Рисунок 19"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522" w:rsidRPr="00966AE1">
        <w:rPr>
          <w:rFonts w:eastAsia="+mn-ea"/>
          <w:b/>
          <w:bCs/>
          <w:i/>
          <w:kern w:val="24"/>
          <w:sz w:val="24"/>
          <w:szCs w:val="40"/>
        </w:rPr>
        <w:t xml:space="preserve">Среднемесячная заработная плата работников крупных и средних организаций </w:t>
      </w:r>
      <w:r w:rsidR="009C5522" w:rsidRPr="00966AE1">
        <w:rPr>
          <w:rFonts w:eastAsia="+mn-ea"/>
          <w:b/>
          <w:bCs/>
          <w:i/>
          <w:kern w:val="24"/>
          <w:sz w:val="24"/>
          <w:szCs w:val="40"/>
        </w:rPr>
        <w:br/>
        <w:t>города Твери по видам деятельности за 2018 год</w:t>
      </w:r>
    </w:p>
    <w:tbl>
      <w:tblPr>
        <w:tblStyle w:val="4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214"/>
      </w:tblGrid>
      <w:tr w:rsidR="009C5522" w:rsidRPr="00966AE1" w:rsidTr="009C5522">
        <w:tc>
          <w:tcPr>
            <w:tcW w:w="709" w:type="dxa"/>
          </w:tcPr>
          <w:p w:rsidR="009C5522" w:rsidRPr="00966AE1" w:rsidRDefault="009C5522" w:rsidP="009C5522">
            <w:pPr>
              <w:spacing w:line="264" w:lineRule="auto"/>
              <w:rPr>
                <w:szCs w:val="28"/>
              </w:rPr>
            </w:pPr>
            <w:r w:rsidRPr="00966AE1">
              <w:rPr>
                <w:sz w:val="24"/>
                <w:szCs w:val="24"/>
              </w:rPr>
              <w:t xml:space="preserve"> </w:t>
            </w:r>
            <w:r w:rsidRPr="00966AE1">
              <w:rPr>
                <w:rFonts w:ascii="Arial" w:hAnsi="Arial" w:cs="Arial"/>
                <w:noProof/>
                <w:color w:val="0070C0"/>
                <w:sz w:val="2"/>
                <w:szCs w:val="2"/>
              </w:rPr>
              <w:drawing>
                <wp:anchor distT="0" distB="0" distL="114300" distR="114300" simplePos="0" relativeHeight="251719680" behindDoc="0" locked="0" layoutInCell="1" allowOverlap="1" wp14:anchorId="754A868C" wp14:editId="4718AA8F">
                  <wp:simplePos x="0" y="0"/>
                  <wp:positionH relativeFrom="column">
                    <wp:posOffset>-46217</wp:posOffset>
                  </wp:positionH>
                  <wp:positionV relativeFrom="paragraph">
                    <wp:posOffset>36305</wp:posOffset>
                  </wp:positionV>
                  <wp:extent cx="365760" cy="374650"/>
                  <wp:effectExtent l="0" t="0" r="0" b="6350"/>
                  <wp:wrapNone/>
                  <wp:docPr id="20" name="Рисунок 20"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14" w:type="dxa"/>
          </w:tcPr>
          <w:p w:rsidR="00265A63" w:rsidRPr="001A22EF" w:rsidRDefault="00265A63" w:rsidP="009C5522">
            <w:pPr>
              <w:spacing w:line="288" w:lineRule="auto"/>
              <w:rPr>
                <w:rFonts w:ascii="Times New Roman" w:hAnsi="Times New Roman"/>
                <w:sz w:val="10"/>
                <w:szCs w:val="24"/>
              </w:rPr>
            </w:pPr>
          </w:p>
          <w:p w:rsidR="009C5522" w:rsidRPr="00265A63" w:rsidRDefault="00265A63" w:rsidP="009C5522">
            <w:pPr>
              <w:spacing w:line="288" w:lineRule="auto"/>
              <w:rPr>
                <w:rFonts w:ascii="Times New Roman" w:hAnsi="Times New Roman"/>
                <w:sz w:val="24"/>
                <w:szCs w:val="24"/>
              </w:rPr>
            </w:pPr>
            <w:r>
              <w:rPr>
                <w:rFonts w:ascii="Times New Roman" w:hAnsi="Times New Roman"/>
                <w:sz w:val="24"/>
                <w:szCs w:val="24"/>
              </w:rPr>
              <w:t>Р</w:t>
            </w:r>
            <w:r w:rsidR="009C5522" w:rsidRPr="00265A63">
              <w:rPr>
                <w:rFonts w:ascii="Times New Roman" w:hAnsi="Times New Roman"/>
                <w:sz w:val="24"/>
                <w:szCs w:val="24"/>
              </w:rPr>
              <w:t>ейтинг заработной платы за 2018 год</w:t>
            </w:r>
            <w:r>
              <w:rPr>
                <w:rFonts w:ascii="Times New Roman" w:hAnsi="Times New Roman"/>
                <w:sz w:val="24"/>
                <w:szCs w:val="24"/>
              </w:rPr>
              <w:t xml:space="preserve"> показал, что </w:t>
            </w:r>
            <w:r w:rsidR="009C5522" w:rsidRPr="00265A63">
              <w:rPr>
                <w:rFonts w:ascii="Times New Roman" w:hAnsi="Times New Roman"/>
                <w:sz w:val="24"/>
                <w:szCs w:val="24"/>
              </w:rPr>
              <w:t xml:space="preserve">город Тверь занимает: </w:t>
            </w:r>
          </w:p>
          <w:p w:rsidR="009C5522" w:rsidRPr="00945C6E" w:rsidRDefault="009C5522" w:rsidP="009C5522">
            <w:pPr>
              <w:spacing w:line="288" w:lineRule="auto"/>
              <w:rPr>
                <w:rFonts w:ascii="Times New Roman" w:hAnsi="Times New Roman"/>
                <w:sz w:val="24"/>
                <w:szCs w:val="24"/>
                <w:u w:val="single"/>
              </w:rPr>
            </w:pPr>
            <w:r w:rsidRPr="00945C6E">
              <w:rPr>
                <w:rFonts w:ascii="Times New Roman" w:hAnsi="Times New Roman"/>
                <w:sz w:val="24"/>
                <w:szCs w:val="24"/>
              </w:rPr>
              <w:t xml:space="preserve">           </w:t>
            </w:r>
            <w:r w:rsidRPr="00945C6E">
              <w:rPr>
                <w:rFonts w:ascii="Times New Roman" w:hAnsi="Times New Roman"/>
                <w:sz w:val="24"/>
                <w:szCs w:val="24"/>
                <w:u w:val="single"/>
                <w:lang w:val="en-US"/>
              </w:rPr>
              <w:t>c</w:t>
            </w:r>
            <w:proofErr w:type="spellStart"/>
            <w:r w:rsidRPr="00945C6E">
              <w:rPr>
                <w:rFonts w:ascii="Times New Roman" w:hAnsi="Times New Roman"/>
                <w:sz w:val="24"/>
                <w:szCs w:val="24"/>
                <w:u w:val="single"/>
              </w:rPr>
              <w:t>реди</w:t>
            </w:r>
            <w:proofErr w:type="spellEnd"/>
            <w:r w:rsidRPr="00945C6E">
              <w:rPr>
                <w:rFonts w:ascii="Times New Roman" w:hAnsi="Times New Roman"/>
                <w:sz w:val="24"/>
                <w:szCs w:val="24"/>
                <w:u w:val="single"/>
              </w:rPr>
              <w:t xml:space="preserve"> 16</w:t>
            </w:r>
            <w:r w:rsidRPr="00763FD6">
              <w:rPr>
                <w:rFonts w:ascii="Times New Roman" w:hAnsi="Times New Roman"/>
                <w:i/>
                <w:sz w:val="24"/>
                <w:szCs w:val="24"/>
                <w:u w:val="single"/>
              </w:rPr>
              <w:t>-ти</w:t>
            </w:r>
            <w:r w:rsidRPr="00945C6E">
              <w:rPr>
                <w:rFonts w:ascii="Times New Roman" w:hAnsi="Times New Roman"/>
                <w:sz w:val="24"/>
                <w:szCs w:val="24"/>
                <w:u w:val="single"/>
              </w:rPr>
              <w:t xml:space="preserve"> областных центров ЦФО </w:t>
            </w:r>
          </w:p>
          <w:p w:rsidR="009C5522" w:rsidRPr="00945C6E" w:rsidRDefault="009C5522" w:rsidP="009C5522">
            <w:pPr>
              <w:spacing w:line="288" w:lineRule="auto"/>
              <w:rPr>
                <w:rFonts w:ascii="Times New Roman" w:hAnsi="Times New Roman"/>
                <w:sz w:val="24"/>
                <w:szCs w:val="24"/>
              </w:rPr>
            </w:pPr>
            <w:r w:rsidRPr="00945C6E">
              <w:rPr>
                <w:rFonts w:ascii="Times New Roman" w:hAnsi="Times New Roman"/>
                <w:b/>
                <w:sz w:val="24"/>
                <w:szCs w:val="24"/>
              </w:rPr>
              <w:t xml:space="preserve">4 </w:t>
            </w:r>
            <w:r w:rsidRPr="00945C6E">
              <w:rPr>
                <w:rFonts w:ascii="Times New Roman" w:hAnsi="Times New Roman"/>
                <w:sz w:val="24"/>
                <w:szCs w:val="24"/>
              </w:rPr>
              <w:t xml:space="preserve">место - по размеру заработной платы работников крупных и средних организаций, </w:t>
            </w:r>
            <w:r w:rsidRPr="00945C6E">
              <w:rPr>
                <w:rFonts w:ascii="Times New Roman" w:hAnsi="Times New Roman"/>
                <w:sz w:val="24"/>
                <w:szCs w:val="24"/>
              </w:rPr>
              <w:br/>
            </w:r>
            <w:r w:rsidRPr="00945C6E">
              <w:rPr>
                <w:rFonts w:ascii="Times New Roman" w:hAnsi="Times New Roman"/>
                <w:b/>
                <w:sz w:val="24"/>
                <w:szCs w:val="24"/>
              </w:rPr>
              <w:t xml:space="preserve">3 </w:t>
            </w:r>
            <w:r w:rsidRPr="00945C6E">
              <w:rPr>
                <w:rFonts w:ascii="Times New Roman" w:hAnsi="Times New Roman"/>
                <w:sz w:val="24"/>
                <w:szCs w:val="24"/>
              </w:rPr>
              <w:t>место - по темпам роста зарплаты;</w:t>
            </w:r>
            <w:r w:rsidRPr="00945C6E">
              <w:rPr>
                <w:rFonts w:ascii="Times New Roman" w:hAnsi="Times New Roman"/>
                <w:sz w:val="24"/>
                <w:szCs w:val="24"/>
              </w:rPr>
              <w:br/>
            </w:r>
            <w:r w:rsidRPr="00945C6E">
              <w:rPr>
                <w:rFonts w:ascii="Times New Roman" w:hAnsi="Times New Roman"/>
                <w:i/>
                <w:sz w:val="24"/>
                <w:szCs w:val="24"/>
              </w:rPr>
              <w:t xml:space="preserve">        </w:t>
            </w:r>
            <w:r w:rsidRPr="00945C6E">
              <w:rPr>
                <w:rFonts w:ascii="Times New Roman" w:hAnsi="Times New Roman"/>
                <w:sz w:val="24"/>
                <w:szCs w:val="24"/>
              </w:rPr>
              <w:t xml:space="preserve"> </w:t>
            </w:r>
            <w:r w:rsidRPr="00945C6E">
              <w:rPr>
                <w:rFonts w:ascii="Times New Roman" w:hAnsi="Times New Roman"/>
                <w:sz w:val="24"/>
                <w:szCs w:val="24"/>
                <w:u w:val="single"/>
              </w:rPr>
              <w:t xml:space="preserve"> среди муниципальных образований Тверской области </w:t>
            </w:r>
          </w:p>
          <w:p w:rsidR="009C5522" w:rsidRDefault="009C5522" w:rsidP="009C5522">
            <w:pPr>
              <w:spacing w:line="288" w:lineRule="auto"/>
              <w:rPr>
                <w:rFonts w:ascii="Times New Roman" w:hAnsi="Times New Roman"/>
                <w:sz w:val="24"/>
                <w:szCs w:val="24"/>
              </w:rPr>
            </w:pPr>
            <w:r w:rsidRPr="00945C6E">
              <w:rPr>
                <w:rFonts w:ascii="Times New Roman" w:hAnsi="Times New Roman"/>
                <w:b/>
                <w:sz w:val="24"/>
                <w:szCs w:val="24"/>
              </w:rPr>
              <w:t xml:space="preserve">3 </w:t>
            </w:r>
            <w:r w:rsidRPr="00945C6E">
              <w:rPr>
                <w:rFonts w:ascii="Times New Roman" w:hAnsi="Times New Roman"/>
                <w:sz w:val="24"/>
                <w:szCs w:val="24"/>
              </w:rPr>
              <w:t xml:space="preserve">место - после </w:t>
            </w:r>
            <w:proofErr w:type="spellStart"/>
            <w:r w:rsidRPr="00945C6E">
              <w:rPr>
                <w:rFonts w:ascii="Times New Roman" w:hAnsi="Times New Roman"/>
                <w:sz w:val="24"/>
                <w:szCs w:val="24"/>
              </w:rPr>
              <w:t>Удомельского</w:t>
            </w:r>
            <w:proofErr w:type="spellEnd"/>
            <w:r w:rsidRPr="00945C6E">
              <w:rPr>
                <w:rFonts w:ascii="Times New Roman" w:hAnsi="Times New Roman"/>
                <w:sz w:val="24"/>
                <w:szCs w:val="24"/>
              </w:rPr>
              <w:t xml:space="preserve"> городского округа и </w:t>
            </w:r>
            <w:proofErr w:type="spellStart"/>
            <w:r w:rsidRPr="00945C6E">
              <w:rPr>
                <w:rFonts w:ascii="Times New Roman" w:hAnsi="Times New Roman"/>
                <w:sz w:val="24"/>
                <w:szCs w:val="24"/>
              </w:rPr>
              <w:t>Кесовогорского</w:t>
            </w:r>
            <w:proofErr w:type="spellEnd"/>
            <w:r w:rsidRPr="00945C6E">
              <w:rPr>
                <w:rFonts w:ascii="Times New Roman" w:hAnsi="Times New Roman"/>
                <w:sz w:val="24"/>
                <w:szCs w:val="24"/>
              </w:rPr>
              <w:t xml:space="preserve"> района.</w:t>
            </w:r>
          </w:p>
          <w:p w:rsidR="00265A63" w:rsidRPr="001A22EF" w:rsidRDefault="00265A63" w:rsidP="009C5522">
            <w:pPr>
              <w:spacing w:line="288" w:lineRule="auto"/>
              <w:rPr>
                <w:rFonts w:ascii="Times New Roman" w:hAnsi="Times New Roman"/>
                <w:sz w:val="10"/>
                <w:szCs w:val="24"/>
              </w:rPr>
            </w:pPr>
          </w:p>
        </w:tc>
      </w:tr>
    </w:tbl>
    <w:tbl>
      <w:tblPr>
        <w:tblStyle w:val="af1"/>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5"/>
        <w:gridCol w:w="5811"/>
      </w:tblGrid>
      <w:tr w:rsidR="009C5522" w:rsidRPr="00966AE1" w:rsidTr="00265A63">
        <w:tc>
          <w:tcPr>
            <w:tcW w:w="4395" w:type="dxa"/>
            <w:shd w:val="clear" w:color="auto" w:fill="F3F7FB"/>
            <w:vAlign w:val="center"/>
          </w:tcPr>
          <w:p w:rsidR="009C5522" w:rsidRPr="00945C6E" w:rsidRDefault="009C5522" w:rsidP="009C5522">
            <w:pPr>
              <w:widowControl w:val="0"/>
              <w:spacing w:line="216" w:lineRule="auto"/>
              <w:rPr>
                <w:i/>
                <w:sz w:val="23"/>
                <w:szCs w:val="23"/>
              </w:rPr>
            </w:pPr>
            <w:r w:rsidRPr="00945C6E">
              <w:rPr>
                <w:sz w:val="23"/>
                <w:szCs w:val="23"/>
              </w:rPr>
              <w:lastRenderedPageBreak/>
              <w:t>В соответствии с Указом Президента РФ от 07.05.2012 № 597 «О мероприятиях по реализации государственной социальной политики»</w:t>
            </w:r>
            <w:r w:rsidRPr="00945C6E">
              <w:rPr>
                <w:i/>
                <w:sz w:val="23"/>
                <w:szCs w:val="23"/>
              </w:rPr>
              <w:t xml:space="preserve">  </w:t>
            </w:r>
          </w:p>
          <w:p w:rsidR="009C5522" w:rsidRPr="00945C6E" w:rsidRDefault="009C5522" w:rsidP="009C5522">
            <w:pPr>
              <w:widowControl w:val="0"/>
              <w:spacing w:line="216" w:lineRule="auto"/>
              <w:rPr>
                <w:i/>
                <w:sz w:val="23"/>
                <w:szCs w:val="23"/>
              </w:rPr>
            </w:pPr>
            <w:r w:rsidRPr="00945C6E">
              <w:rPr>
                <w:sz w:val="23"/>
                <w:szCs w:val="23"/>
              </w:rPr>
              <w:t xml:space="preserve">  </w:t>
            </w:r>
            <w:r w:rsidRPr="00945C6E">
              <w:rPr>
                <w:i/>
                <w:sz w:val="23"/>
                <w:szCs w:val="23"/>
              </w:rPr>
              <w:t xml:space="preserve">   </w:t>
            </w:r>
            <w:r>
              <w:rPr>
                <w:i/>
                <w:sz w:val="23"/>
                <w:szCs w:val="23"/>
              </w:rPr>
              <w:t xml:space="preserve">  </w:t>
            </w:r>
            <w:r w:rsidRPr="00945C6E">
              <w:rPr>
                <w:i/>
                <w:sz w:val="23"/>
                <w:szCs w:val="23"/>
              </w:rPr>
              <w:t xml:space="preserve">  </w:t>
            </w:r>
            <w:r w:rsidR="00265A63">
              <w:rPr>
                <w:i/>
                <w:sz w:val="23"/>
                <w:szCs w:val="23"/>
              </w:rPr>
              <w:t xml:space="preserve">                    </w:t>
            </w:r>
            <w:r w:rsidRPr="00945C6E">
              <w:rPr>
                <w:i/>
                <w:sz w:val="23"/>
                <w:szCs w:val="23"/>
              </w:rPr>
              <w:t xml:space="preserve">в части </w:t>
            </w:r>
          </w:p>
          <w:p w:rsidR="009C5522" w:rsidRPr="00945C6E" w:rsidRDefault="009C5522" w:rsidP="00265A63">
            <w:pPr>
              <w:widowControl w:val="0"/>
              <w:spacing w:line="216" w:lineRule="auto"/>
              <w:rPr>
                <w:i/>
                <w:sz w:val="23"/>
                <w:szCs w:val="23"/>
              </w:rPr>
            </w:pPr>
            <w:r w:rsidRPr="00945C6E">
              <w:rPr>
                <w:sz w:val="23"/>
                <w:szCs w:val="23"/>
              </w:rPr>
              <w:t>поэтапного совершенствования оплаты труда отдельных категорий бюджетных работников в 2012-2018 годах</w:t>
            </w:r>
            <w:r w:rsidR="00265A63">
              <w:rPr>
                <w:sz w:val="23"/>
                <w:szCs w:val="23"/>
              </w:rPr>
              <w:t xml:space="preserve"> </w:t>
            </w:r>
            <w:r w:rsidRPr="00945C6E">
              <w:rPr>
                <w:sz w:val="23"/>
                <w:szCs w:val="23"/>
                <w:lang w:eastAsia="en-US"/>
              </w:rPr>
              <w:t>проводились мероприятия</w:t>
            </w:r>
            <w:r w:rsidR="00265A63">
              <w:rPr>
                <w:sz w:val="23"/>
                <w:szCs w:val="23"/>
                <w:lang w:eastAsia="en-US"/>
              </w:rPr>
              <w:t xml:space="preserve"> </w:t>
            </w:r>
            <w:r w:rsidRPr="00945C6E">
              <w:rPr>
                <w:sz w:val="23"/>
                <w:szCs w:val="23"/>
                <w:lang w:eastAsia="en-US"/>
              </w:rPr>
              <w:t>по повышению размера заработной платы бюджетных работников</w:t>
            </w:r>
            <w:r w:rsidR="00265A63">
              <w:rPr>
                <w:sz w:val="23"/>
                <w:szCs w:val="23"/>
                <w:lang w:eastAsia="en-US"/>
              </w:rPr>
              <w:t xml:space="preserve"> </w:t>
            </w:r>
            <w:r w:rsidRPr="00945C6E">
              <w:rPr>
                <w:sz w:val="23"/>
                <w:szCs w:val="23"/>
                <w:lang w:eastAsia="en-US"/>
              </w:rPr>
              <w:t>города Твери в 2018 году.</w:t>
            </w:r>
          </w:p>
        </w:tc>
        <w:tc>
          <w:tcPr>
            <w:tcW w:w="5811" w:type="dxa"/>
            <w:shd w:val="clear" w:color="auto" w:fill="auto"/>
          </w:tcPr>
          <w:p w:rsidR="009C5522" w:rsidRPr="000B39A4" w:rsidRDefault="009C5522" w:rsidP="009C5522">
            <w:pPr>
              <w:shd w:val="clear" w:color="auto" w:fill="FFFFFF"/>
              <w:autoSpaceDE w:val="0"/>
              <w:autoSpaceDN w:val="0"/>
              <w:adjustRightInd w:val="0"/>
              <w:spacing w:line="216" w:lineRule="auto"/>
              <w:ind w:firstLine="34"/>
              <w:jc w:val="center"/>
              <w:rPr>
                <w:b/>
                <w:sz w:val="23"/>
                <w:szCs w:val="23"/>
              </w:rPr>
            </w:pPr>
            <w:r w:rsidRPr="000B39A4">
              <w:rPr>
                <w:b/>
                <w:sz w:val="23"/>
                <w:szCs w:val="23"/>
              </w:rPr>
              <w:t>По итогам 2018 года</w:t>
            </w:r>
          </w:p>
          <w:p w:rsidR="009C5522" w:rsidRPr="00945C6E" w:rsidRDefault="009C5522" w:rsidP="009C5522">
            <w:pPr>
              <w:shd w:val="clear" w:color="auto" w:fill="FFFFFF"/>
              <w:autoSpaceDE w:val="0"/>
              <w:autoSpaceDN w:val="0"/>
              <w:adjustRightInd w:val="0"/>
              <w:spacing w:line="216" w:lineRule="auto"/>
              <w:ind w:firstLine="34"/>
              <w:rPr>
                <w:sz w:val="23"/>
                <w:szCs w:val="23"/>
              </w:rPr>
            </w:pPr>
            <w:r w:rsidRPr="00945C6E">
              <w:rPr>
                <w:sz w:val="23"/>
                <w:szCs w:val="23"/>
              </w:rPr>
              <w:t xml:space="preserve">среднемесячная </w:t>
            </w:r>
            <w:r w:rsidRPr="00945C6E">
              <w:rPr>
                <w:sz w:val="23"/>
                <w:szCs w:val="23"/>
                <w:lang w:eastAsia="en-US"/>
              </w:rPr>
              <w:t xml:space="preserve">номинальная начисленная </w:t>
            </w:r>
            <w:r w:rsidRPr="00945C6E">
              <w:rPr>
                <w:sz w:val="23"/>
                <w:szCs w:val="23"/>
              </w:rPr>
              <w:t>зарплата бюджетных работников  в городе Твери составила:</w:t>
            </w:r>
          </w:p>
          <w:p w:rsidR="009C5522" w:rsidRPr="00945C6E" w:rsidRDefault="009C5522" w:rsidP="009C5522">
            <w:pPr>
              <w:shd w:val="clear" w:color="auto" w:fill="FFFFFF"/>
              <w:autoSpaceDE w:val="0"/>
              <w:autoSpaceDN w:val="0"/>
              <w:adjustRightInd w:val="0"/>
              <w:spacing w:line="216" w:lineRule="auto"/>
              <w:rPr>
                <w:bCs/>
                <w:i/>
                <w:sz w:val="23"/>
                <w:szCs w:val="23"/>
              </w:rPr>
            </w:pPr>
            <w:r w:rsidRPr="00945C6E">
              <w:rPr>
                <w:i/>
                <w:sz w:val="23"/>
                <w:szCs w:val="23"/>
              </w:rPr>
              <w:t xml:space="preserve">    </w:t>
            </w:r>
            <w:r w:rsidRPr="00945C6E">
              <w:rPr>
                <w:i/>
                <w:sz w:val="23"/>
                <w:szCs w:val="23"/>
                <w:u w:val="single"/>
              </w:rPr>
              <w:t>педагогические работники</w:t>
            </w:r>
            <w:r w:rsidRPr="00945C6E">
              <w:rPr>
                <w:i/>
                <w:sz w:val="23"/>
                <w:szCs w:val="23"/>
              </w:rPr>
              <w:t xml:space="preserve"> </w:t>
            </w:r>
            <w:r w:rsidRPr="00945C6E">
              <w:rPr>
                <w:i/>
                <w:sz w:val="23"/>
                <w:szCs w:val="23"/>
              </w:rPr>
              <w:br/>
            </w:r>
            <w:r w:rsidRPr="00945C6E">
              <w:rPr>
                <w:sz w:val="23"/>
                <w:szCs w:val="23"/>
              </w:rPr>
              <w:t xml:space="preserve">        - муниципальных дошкольных образовательных </w:t>
            </w:r>
            <w:r w:rsidRPr="00945C6E">
              <w:rPr>
                <w:sz w:val="23"/>
                <w:szCs w:val="23"/>
              </w:rPr>
              <w:br/>
              <w:t xml:space="preserve">          организаций </w:t>
            </w:r>
            <w:r w:rsidRPr="00945C6E">
              <w:rPr>
                <w:i/>
                <w:sz w:val="23"/>
                <w:szCs w:val="23"/>
              </w:rPr>
              <w:t>(26,4 тыс. рублей</w:t>
            </w:r>
            <w:r w:rsidRPr="00945C6E">
              <w:rPr>
                <w:bCs/>
                <w:i/>
                <w:sz w:val="23"/>
                <w:szCs w:val="23"/>
              </w:rPr>
              <w:t>);</w:t>
            </w:r>
          </w:p>
          <w:p w:rsidR="009C5522" w:rsidRPr="00945C6E" w:rsidRDefault="009C5522" w:rsidP="009C5522">
            <w:pPr>
              <w:shd w:val="clear" w:color="auto" w:fill="FFFFFF"/>
              <w:autoSpaceDE w:val="0"/>
              <w:autoSpaceDN w:val="0"/>
              <w:adjustRightInd w:val="0"/>
              <w:spacing w:line="216" w:lineRule="auto"/>
              <w:ind w:firstLine="35"/>
              <w:rPr>
                <w:sz w:val="23"/>
                <w:szCs w:val="23"/>
                <w:lang w:eastAsia="en-US"/>
              </w:rPr>
            </w:pPr>
            <w:r w:rsidRPr="00945C6E">
              <w:rPr>
                <w:sz w:val="23"/>
                <w:szCs w:val="23"/>
                <w:lang w:eastAsia="en-US"/>
              </w:rPr>
              <w:t xml:space="preserve">        - муниципальных общеобразовательных </w:t>
            </w:r>
            <w:r w:rsidRPr="00945C6E">
              <w:rPr>
                <w:sz w:val="23"/>
                <w:szCs w:val="23"/>
                <w:lang w:eastAsia="en-US"/>
              </w:rPr>
              <w:br/>
              <w:t xml:space="preserve">           организаций общего образования </w:t>
            </w:r>
            <w:r>
              <w:rPr>
                <w:sz w:val="23"/>
                <w:szCs w:val="23"/>
                <w:lang w:eastAsia="en-US"/>
              </w:rPr>
              <w:br/>
              <w:t xml:space="preserve">           </w:t>
            </w:r>
            <w:r w:rsidRPr="00945C6E">
              <w:rPr>
                <w:i/>
                <w:sz w:val="23"/>
                <w:szCs w:val="23"/>
                <w:lang w:eastAsia="en-US"/>
              </w:rPr>
              <w:t>(26,8 тыс. рублей);</w:t>
            </w:r>
            <w:r w:rsidRPr="00945C6E">
              <w:rPr>
                <w:sz w:val="23"/>
                <w:szCs w:val="23"/>
                <w:lang w:eastAsia="en-US"/>
              </w:rPr>
              <w:t xml:space="preserve"> </w:t>
            </w:r>
          </w:p>
          <w:p w:rsidR="009C5522" w:rsidRPr="00945C6E" w:rsidRDefault="009C5522" w:rsidP="009C5522">
            <w:pPr>
              <w:shd w:val="clear" w:color="auto" w:fill="FFFFFF"/>
              <w:autoSpaceDE w:val="0"/>
              <w:autoSpaceDN w:val="0"/>
              <w:adjustRightInd w:val="0"/>
              <w:spacing w:line="216" w:lineRule="auto"/>
              <w:ind w:firstLine="35"/>
              <w:rPr>
                <w:sz w:val="23"/>
                <w:szCs w:val="23"/>
                <w:lang w:eastAsia="en-US"/>
              </w:rPr>
            </w:pPr>
            <w:r w:rsidRPr="00945C6E">
              <w:rPr>
                <w:sz w:val="23"/>
                <w:szCs w:val="23"/>
              </w:rPr>
              <w:t xml:space="preserve">        - </w:t>
            </w:r>
            <w:r w:rsidRPr="00945C6E">
              <w:rPr>
                <w:sz w:val="23"/>
                <w:szCs w:val="23"/>
                <w:lang w:eastAsia="en-US"/>
              </w:rPr>
              <w:t xml:space="preserve">организаций дополнительного образования </w:t>
            </w:r>
            <w:r w:rsidRPr="00945C6E">
              <w:rPr>
                <w:sz w:val="23"/>
                <w:szCs w:val="23"/>
                <w:lang w:eastAsia="en-US"/>
              </w:rPr>
              <w:br/>
              <w:t xml:space="preserve">           детей </w:t>
            </w:r>
            <w:r w:rsidRPr="00945C6E">
              <w:rPr>
                <w:i/>
                <w:sz w:val="23"/>
                <w:szCs w:val="23"/>
                <w:lang w:eastAsia="en-US"/>
              </w:rPr>
              <w:t>(28,8 тыс. рублей);</w:t>
            </w:r>
          </w:p>
          <w:p w:rsidR="009C5522" w:rsidRPr="00945C6E" w:rsidRDefault="009C5522" w:rsidP="009C5522">
            <w:pPr>
              <w:spacing w:line="216" w:lineRule="auto"/>
              <w:jc w:val="both"/>
              <w:rPr>
                <w:i/>
                <w:sz w:val="23"/>
                <w:szCs w:val="23"/>
                <w:u w:val="single"/>
                <w:lang w:eastAsia="en-US"/>
              </w:rPr>
            </w:pPr>
            <w:r w:rsidRPr="00945C6E">
              <w:rPr>
                <w:sz w:val="23"/>
                <w:szCs w:val="23"/>
                <w:lang w:eastAsia="en-US"/>
              </w:rPr>
              <w:t xml:space="preserve">     </w:t>
            </w:r>
            <w:r w:rsidRPr="00945C6E">
              <w:rPr>
                <w:i/>
                <w:sz w:val="23"/>
                <w:szCs w:val="23"/>
                <w:u w:val="single"/>
                <w:lang w:eastAsia="en-US"/>
              </w:rPr>
              <w:t xml:space="preserve">работники </w:t>
            </w:r>
          </w:p>
          <w:p w:rsidR="009C5522" w:rsidRPr="00945C6E" w:rsidRDefault="009C5522" w:rsidP="009C5522">
            <w:pPr>
              <w:spacing w:line="216" w:lineRule="auto"/>
              <w:jc w:val="both"/>
              <w:rPr>
                <w:sz w:val="23"/>
                <w:szCs w:val="23"/>
              </w:rPr>
            </w:pPr>
            <w:r w:rsidRPr="00945C6E">
              <w:rPr>
                <w:sz w:val="23"/>
                <w:szCs w:val="23"/>
                <w:lang w:eastAsia="en-US"/>
              </w:rPr>
              <w:t xml:space="preserve">         - учреждений культуры </w:t>
            </w:r>
            <w:r w:rsidRPr="00945C6E">
              <w:rPr>
                <w:i/>
                <w:sz w:val="23"/>
                <w:szCs w:val="23"/>
                <w:lang w:eastAsia="en-US"/>
              </w:rPr>
              <w:t>(27,6 тыс. рублей).</w:t>
            </w:r>
            <w:r w:rsidRPr="00945C6E">
              <w:rPr>
                <w:sz w:val="23"/>
                <w:szCs w:val="23"/>
                <w:lang w:eastAsia="en-US"/>
              </w:rPr>
              <w:t xml:space="preserve"> </w:t>
            </w:r>
          </w:p>
        </w:tc>
      </w:tr>
    </w:tbl>
    <w:p w:rsidR="009C5522" w:rsidRPr="001A22EF" w:rsidRDefault="009C5522" w:rsidP="009C5522">
      <w:pPr>
        <w:spacing w:line="288" w:lineRule="auto"/>
        <w:ind w:firstLine="709"/>
        <w:jc w:val="both"/>
        <w:rPr>
          <w:sz w:val="14"/>
          <w:szCs w:val="28"/>
        </w:rPr>
      </w:pPr>
    </w:p>
    <w:p w:rsidR="003D1A6E" w:rsidRDefault="009C5522" w:rsidP="009C5522">
      <w:pPr>
        <w:spacing w:line="288" w:lineRule="auto"/>
        <w:ind w:firstLine="709"/>
        <w:jc w:val="both"/>
        <w:rPr>
          <w:sz w:val="24"/>
          <w:szCs w:val="24"/>
        </w:rPr>
      </w:pPr>
      <w:r w:rsidRPr="00966AE1">
        <w:rPr>
          <w:sz w:val="24"/>
          <w:szCs w:val="28"/>
        </w:rPr>
        <w:t xml:space="preserve">Росла оплата труда работников малых предприятий, вместе с тем номинальный размер заработной платы был ниже </w:t>
      </w:r>
      <w:r w:rsidRPr="00966AE1">
        <w:rPr>
          <w:sz w:val="24"/>
          <w:szCs w:val="24"/>
        </w:rPr>
        <w:t xml:space="preserve">в 1,8 раза, чем в организациях крупного и среднего бизнеса. </w:t>
      </w:r>
      <w:r w:rsidR="00763FD6">
        <w:rPr>
          <w:sz w:val="24"/>
          <w:szCs w:val="24"/>
        </w:rPr>
        <w:t>Согласно</w:t>
      </w:r>
      <w:r w:rsidRPr="00966AE1">
        <w:rPr>
          <w:sz w:val="24"/>
          <w:szCs w:val="24"/>
        </w:rPr>
        <w:t xml:space="preserve"> оценке</w:t>
      </w:r>
      <w:r w:rsidR="003D1A6E">
        <w:rPr>
          <w:sz w:val="24"/>
          <w:szCs w:val="24"/>
        </w:rPr>
        <w:t xml:space="preserve">, в </w:t>
      </w:r>
      <w:r w:rsidRPr="00966AE1">
        <w:rPr>
          <w:sz w:val="24"/>
          <w:szCs w:val="24"/>
        </w:rPr>
        <w:t>2018 год</w:t>
      </w:r>
      <w:r w:rsidR="003D1A6E">
        <w:rPr>
          <w:sz w:val="24"/>
          <w:szCs w:val="24"/>
        </w:rPr>
        <w:t>у</w:t>
      </w:r>
      <w:r w:rsidR="00763FD6">
        <w:rPr>
          <w:sz w:val="24"/>
          <w:szCs w:val="24"/>
        </w:rPr>
        <w:t xml:space="preserve"> </w:t>
      </w:r>
      <w:r w:rsidRPr="00966AE1">
        <w:rPr>
          <w:sz w:val="24"/>
          <w:szCs w:val="24"/>
        </w:rPr>
        <w:t xml:space="preserve">зарплата в малом бизнесе выросла на 1,4 тыс. рублей и составила 22,7 тыс. рублей. </w:t>
      </w:r>
    </w:p>
    <w:p w:rsidR="009C5522" w:rsidRPr="00966AE1" w:rsidRDefault="009C5522" w:rsidP="009C5522">
      <w:pPr>
        <w:spacing w:line="288" w:lineRule="auto"/>
        <w:ind w:firstLine="709"/>
        <w:jc w:val="both"/>
        <w:rPr>
          <w:sz w:val="24"/>
          <w:szCs w:val="24"/>
        </w:rPr>
      </w:pPr>
      <w:r w:rsidRPr="00966AE1">
        <w:rPr>
          <w:sz w:val="24"/>
          <w:szCs w:val="24"/>
        </w:rPr>
        <w:t xml:space="preserve">При разработке прогноза для оценки фонда заработной платы работников (далее - ФЗП), занятых в экономике, использовались сведения более 170 хозяйствующих субъектов города Твери. В августе 2019 года крупнейшие предприятия города Твери представили уточненные показатели прогноза ФЗП. Согласно расчетам, </w:t>
      </w:r>
      <w:r w:rsidRPr="00966AE1">
        <w:rPr>
          <w:sz w:val="24"/>
          <w:szCs w:val="24"/>
          <w:u w:val="single"/>
        </w:rPr>
        <w:t>ФЗП работников, занятых в экономике города Твери</w:t>
      </w:r>
      <w:r w:rsidRPr="00966AE1">
        <w:rPr>
          <w:i/>
          <w:sz w:val="24"/>
          <w:szCs w:val="24"/>
          <w:u w:val="single"/>
        </w:rPr>
        <w:t xml:space="preserve"> </w:t>
      </w:r>
      <w:r w:rsidRPr="00966AE1">
        <w:rPr>
          <w:sz w:val="24"/>
          <w:szCs w:val="24"/>
        </w:rPr>
        <w:t xml:space="preserve">(крупные, средние, малые организации) за 2018 год увеличился на 13,8% и превысил 66,3 млрд. рублей. Объем поступлений НДФЛ в бюджет города Твери (по нормативу отчислений 15%) составил и 1,48 млрд. рублей, что на 14,1% больше 2017 года. </w:t>
      </w:r>
      <w:r w:rsidRPr="00966AE1">
        <w:rPr>
          <w:sz w:val="24"/>
        </w:rPr>
        <w:t>Определяющее влияние на увеличение поступлений НДФЛ в доход бюджета оказал растущий ФЗП работников обрабатывающих производств</w:t>
      </w:r>
      <w:r w:rsidR="000E2D8D">
        <w:rPr>
          <w:sz w:val="24"/>
        </w:rPr>
        <w:t xml:space="preserve"> - </w:t>
      </w:r>
      <w:r w:rsidRPr="00966AE1">
        <w:rPr>
          <w:sz w:val="24"/>
        </w:rPr>
        <w:t>крупнейши</w:t>
      </w:r>
      <w:r w:rsidR="000E2D8D">
        <w:rPr>
          <w:sz w:val="24"/>
        </w:rPr>
        <w:t>х</w:t>
      </w:r>
      <w:r w:rsidRPr="00966AE1">
        <w:rPr>
          <w:sz w:val="24"/>
        </w:rPr>
        <w:t xml:space="preserve"> налогоплательщик</w:t>
      </w:r>
      <w:r w:rsidR="000E2D8D">
        <w:rPr>
          <w:sz w:val="24"/>
        </w:rPr>
        <w:t>ов</w:t>
      </w:r>
      <w:r w:rsidRPr="00966AE1">
        <w:rPr>
          <w:sz w:val="24"/>
        </w:rPr>
        <w:t xml:space="preserve"> города Твери. Каждый четвертый рубль суммарного объема ФЗП крупных и средних организаций города Твери </w:t>
      </w:r>
      <w:r w:rsidR="003D1A6E">
        <w:rPr>
          <w:sz w:val="24"/>
        </w:rPr>
        <w:t xml:space="preserve">приходится на </w:t>
      </w:r>
      <w:r w:rsidRPr="00966AE1">
        <w:rPr>
          <w:sz w:val="24"/>
        </w:rPr>
        <w:t xml:space="preserve"> обрабатывающи</w:t>
      </w:r>
      <w:r w:rsidR="003D1A6E">
        <w:rPr>
          <w:sz w:val="24"/>
        </w:rPr>
        <w:t>е</w:t>
      </w:r>
      <w:r w:rsidRPr="00966AE1">
        <w:rPr>
          <w:sz w:val="24"/>
        </w:rPr>
        <w:t xml:space="preserve"> предприяти</w:t>
      </w:r>
      <w:r w:rsidR="003D1A6E">
        <w:rPr>
          <w:sz w:val="24"/>
        </w:rPr>
        <w:t>я</w:t>
      </w:r>
      <w:r w:rsidRPr="00966AE1">
        <w:rPr>
          <w:sz w:val="24"/>
        </w:rPr>
        <w:t xml:space="preserve"> (темп роста ФЗП в 2018 году: в целом по крупным и средним </w:t>
      </w:r>
      <w:r w:rsidRPr="00966AE1">
        <w:rPr>
          <w:sz w:val="24"/>
          <w:szCs w:val="24"/>
        </w:rPr>
        <w:t xml:space="preserve">организациям - 114,4%, в обрабатывающих производствах – 122,5%). </w:t>
      </w:r>
    </w:p>
    <w:p w:rsidR="009C5522" w:rsidRPr="00966AE1" w:rsidRDefault="009C5522" w:rsidP="009C5522">
      <w:pPr>
        <w:spacing w:line="288" w:lineRule="auto"/>
        <w:ind w:firstLine="709"/>
        <w:jc w:val="both"/>
        <w:rPr>
          <w:rFonts w:eastAsia="Calibri"/>
          <w:sz w:val="24"/>
          <w:szCs w:val="24"/>
        </w:rPr>
      </w:pPr>
      <w:r w:rsidRPr="00966AE1">
        <w:rPr>
          <w:rFonts w:eastAsia="Calibri"/>
          <w:sz w:val="24"/>
          <w:szCs w:val="24"/>
        </w:rPr>
        <w:t xml:space="preserve">В 2018 году отмечен максимальный рост ФЗП работников и среднесписочной численности работников предприятий вагоностроительного холдинга и других промышленных </w:t>
      </w:r>
      <w:r w:rsidRPr="00966AE1">
        <w:rPr>
          <w:sz w:val="24"/>
          <w:szCs w:val="24"/>
        </w:rPr>
        <w:t>производств</w:t>
      </w:r>
      <w:r w:rsidRPr="00966AE1">
        <w:rPr>
          <w:rFonts w:eastAsia="Calibri"/>
          <w:sz w:val="24"/>
          <w:szCs w:val="24"/>
        </w:rPr>
        <w:t xml:space="preserve">, производящих прочие транспортные средства и оборудование. По сравнению с 2017 годом ФЗП этих предприятий вырос на 38,7% </w:t>
      </w:r>
      <w:r w:rsidR="000E2D8D">
        <w:rPr>
          <w:rFonts w:eastAsia="Calibri"/>
          <w:sz w:val="24"/>
          <w:szCs w:val="24"/>
        </w:rPr>
        <w:t xml:space="preserve">и составил </w:t>
      </w:r>
      <w:r w:rsidRPr="00966AE1">
        <w:rPr>
          <w:rFonts w:eastAsia="Calibri"/>
          <w:sz w:val="24"/>
          <w:szCs w:val="24"/>
        </w:rPr>
        <w:t>6 млрд. рублей</w:t>
      </w:r>
      <w:r w:rsidR="003D1A6E">
        <w:rPr>
          <w:rFonts w:eastAsia="Calibri"/>
          <w:sz w:val="24"/>
          <w:szCs w:val="24"/>
        </w:rPr>
        <w:t>.</w:t>
      </w:r>
    </w:p>
    <w:p w:rsidR="009C5522" w:rsidRPr="00966AE1" w:rsidRDefault="009C5522" w:rsidP="009C5522">
      <w:pPr>
        <w:autoSpaceDE w:val="0"/>
        <w:autoSpaceDN w:val="0"/>
        <w:adjustRightInd w:val="0"/>
        <w:spacing w:line="288" w:lineRule="auto"/>
        <w:ind w:firstLine="709"/>
        <w:jc w:val="both"/>
        <w:rPr>
          <w:sz w:val="24"/>
        </w:rPr>
      </w:pPr>
      <w:r w:rsidRPr="00966AE1">
        <w:rPr>
          <w:sz w:val="24"/>
          <w:szCs w:val="24"/>
        </w:rPr>
        <w:t>В результате заключенных контрактов ОАО «Тверской вагоностроительный завод» (входит в АО «</w:t>
      </w:r>
      <w:proofErr w:type="spellStart"/>
      <w:r w:rsidRPr="00966AE1">
        <w:rPr>
          <w:sz w:val="24"/>
          <w:szCs w:val="24"/>
        </w:rPr>
        <w:t>Трансмашхолдинг</w:t>
      </w:r>
      <w:proofErr w:type="spellEnd"/>
      <w:r w:rsidRPr="00966AE1">
        <w:rPr>
          <w:sz w:val="24"/>
          <w:szCs w:val="24"/>
        </w:rPr>
        <w:t xml:space="preserve">») расширились рынки сбыта тверской продукции вагоностроения различного модельного ряда. Поставки не ограничиваются территориями </w:t>
      </w:r>
      <w:r w:rsidRPr="00966AE1">
        <w:rPr>
          <w:sz w:val="24"/>
          <w:szCs w:val="18"/>
        </w:rPr>
        <w:t xml:space="preserve">субъектов Российской Федерации, а выходят на международный уровень. </w:t>
      </w:r>
    </w:p>
    <w:p w:rsidR="009C5522" w:rsidRPr="00966AE1" w:rsidRDefault="009C5522" w:rsidP="009C5522">
      <w:pPr>
        <w:spacing w:line="288" w:lineRule="auto"/>
        <w:ind w:firstLine="709"/>
        <w:jc w:val="both"/>
        <w:rPr>
          <w:sz w:val="24"/>
        </w:rPr>
      </w:pPr>
      <w:r w:rsidRPr="00966AE1">
        <w:rPr>
          <w:sz w:val="24"/>
        </w:rPr>
        <w:t xml:space="preserve">По официальной информации </w:t>
      </w:r>
      <w:proofErr w:type="spellStart"/>
      <w:r w:rsidRPr="00966AE1">
        <w:rPr>
          <w:sz w:val="24"/>
        </w:rPr>
        <w:t>Тверьстата</w:t>
      </w:r>
      <w:proofErr w:type="spellEnd"/>
      <w:r w:rsidRPr="00966AE1">
        <w:rPr>
          <w:sz w:val="24"/>
        </w:rPr>
        <w:t>, просроченной задолженности по заработной плате на 1 января 2019 года в городе Твери не зафиксировано.</w:t>
      </w:r>
    </w:p>
    <w:p w:rsidR="009C5522" w:rsidRDefault="009C5522" w:rsidP="009C5522">
      <w:pPr>
        <w:spacing w:line="288" w:lineRule="auto"/>
        <w:ind w:firstLine="708"/>
        <w:jc w:val="both"/>
        <w:rPr>
          <w:sz w:val="24"/>
          <w:szCs w:val="24"/>
        </w:rPr>
      </w:pPr>
      <w:r w:rsidRPr="000B39A4">
        <w:rPr>
          <w:sz w:val="24"/>
          <w:szCs w:val="24"/>
          <w:u w:val="single"/>
        </w:rPr>
        <w:t>Оценка 2019 года и прогноз на 2020-2022 годы</w:t>
      </w:r>
      <w:r w:rsidRPr="00966AE1">
        <w:rPr>
          <w:sz w:val="24"/>
          <w:szCs w:val="24"/>
          <w14:shadow w14:blurRad="50800" w14:dist="38100" w14:dir="13500000" w14:sx="100000" w14:sy="100000" w14:kx="0" w14:ky="0" w14:algn="br">
            <w14:srgbClr w14:val="000000">
              <w14:alpha w14:val="60000"/>
            </w14:srgbClr>
          </w14:shadow>
        </w:rPr>
        <w:t>.</w:t>
      </w:r>
      <w:r w:rsidRPr="00966AE1">
        <w:rPr>
          <w:sz w:val="24"/>
          <w:szCs w:val="24"/>
        </w:rPr>
        <w:t xml:space="preserve"> </w:t>
      </w:r>
      <w:r w:rsidR="00B60ACB">
        <w:rPr>
          <w:sz w:val="24"/>
          <w:szCs w:val="24"/>
        </w:rPr>
        <w:t xml:space="preserve">За 7 месяцев </w:t>
      </w:r>
      <w:r w:rsidRPr="00966AE1">
        <w:rPr>
          <w:sz w:val="24"/>
          <w:szCs w:val="24"/>
        </w:rPr>
        <w:t xml:space="preserve">2019 года среднемесячная заработная плата работников крупных и средних предприятий города Твери увеличилась на </w:t>
      </w:r>
      <w:r w:rsidR="00B60ACB">
        <w:rPr>
          <w:sz w:val="24"/>
          <w:szCs w:val="24"/>
        </w:rPr>
        <w:t>8</w:t>
      </w:r>
      <w:r w:rsidRPr="00966AE1">
        <w:rPr>
          <w:sz w:val="24"/>
          <w:szCs w:val="24"/>
        </w:rPr>
        <w:t xml:space="preserve">% </w:t>
      </w:r>
      <w:r w:rsidR="00B60ACB">
        <w:rPr>
          <w:sz w:val="24"/>
          <w:szCs w:val="24"/>
        </w:rPr>
        <w:t xml:space="preserve">и составила </w:t>
      </w:r>
      <w:r w:rsidRPr="00966AE1">
        <w:rPr>
          <w:sz w:val="24"/>
          <w:szCs w:val="24"/>
        </w:rPr>
        <w:t>42,2 тыс. рублей. ФЗП работников вырос на 9,</w:t>
      </w:r>
      <w:r w:rsidR="00B60ACB">
        <w:rPr>
          <w:sz w:val="24"/>
          <w:szCs w:val="24"/>
        </w:rPr>
        <w:t>8</w:t>
      </w:r>
      <w:r w:rsidRPr="00966AE1">
        <w:rPr>
          <w:sz w:val="24"/>
          <w:szCs w:val="24"/>
        </w:rPr>
        <w:t xml:space="preserve">%. </w:t>
      </w:r>
    </w:p>
    <w:p w:rsidR="009C5522" w:rsidRPr="000B39A4" w:rsidRDefault="009C5522" w:rsidP="009C5522">
      <w:pPr>
        <w:spacing w:line="288" w:lineRule="auto"/>
        <w:ind w:firstLine="709"/>
        <w:jc w:val="both"/>
        <w:rPr>
          <w:rFonts w:eastAsia="Calibri"/>
          <w:sz w:val="24"/>
          <w:szCs w:val="28"/>
        </w:rPr>
      </w:pPr>
      <w:r w:rsidRPr="00966AE1">
        <w:rPr>
          <w:rFonts w:ascii="Arial" w:hAnsi="Arial" w:cs="Arial"/>
          <w:noProof/>
          <w:color w:val="0070C0"/>
          <w:sz w:val="2"/>
          <w:szCs w:val="2"/>
        </w:rPr>
        <w:drawing>
          <wp:anchor distT="0" distB="0" distL="114300" distR="114300" simplePos="0" relativeHeight="251721728" behindDoc="0" locked="0" layoutInCell="1" allowOverlap="1" wp14:anchorId="13B6CDAB" wp14:editId="66FCE40C">
            <wp:simplePos x="0" y="0"/>
            <wp:positionH relativeFrom="column">
              <wp:posOffset>387985</wp:posOffset>
            </wp:positionH>
            <wp:positionV relativeFrom="paragraph">
              <wp:posOffset>-40005</wp:posOffset>
            </wp:positionV>
            <wp:extent cx="323850" cy="263525"/>
            <wp:effectExtent l="0" t="0" r="0" b="3175"/>
            <wp:wrapNone/>
            <wp:docPr id="21" name="Рисунок 21"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color w:val="FF0000"/>
          <w:sz w:val="24"/>
          <w:szCs w:val="28"/>
        </w:rPr>
        <w:t xml:space="preserve">      </w:t>
      </w:r>
      <w:r>
        <w:rPr>
          <w:rFonts w:eastAsia="Calibri"/>
          <w:sz w:val="24"/>
          <w:szCs w:val="28"/>
        </w:rPr>
        <w:t xml:space="preserve">  </w:t>
      </w:r>
      <w:r w:rsidRPr="000B39A4">
        <w:rPr>
          <w:rFonts w:eastAsia="Calibri"/>
          <w:sz w:val="24"/>
          <w:szCs w:val="28"/>
        </w:rPr>
        <w:t>Город Твер</w:t>
      </w:r>
      <w:r w:rsidR="00B60ACB">
        <w:rPr>
          <w:rFonts w:eastAsia="Calibri"/>
          <w:sz w:val="24"/>
          <w:szCs w:val="28"/>
        </w:rPr>
        <w:t>ь</w:t>
      </w:r>
      <w:r w:rsidRPr="000B39A4">
        <w:rPr>
          <w:rFonts w:eastAsia="Calibri"/>
          <w:sz w:val="24"/>
          <w:szCs w:val="28"/>
        </w:rPr>
        <w:t xml:space="preserve"> занимает </w:t>
      </w:r>
      <w:r w:rsidRPr="000B39A4">
        <w:rPr>
          <w:rFonts w:eastAsia="Calibri"/>
          <w:b/>
          <w:i/>
          <w:sz w:val="24"/>
          <w:szCs w:val="28"/>
        </w:rPr>
        <w:t>3 место</w:t>
      </w:r>
      <w:r w:rsidRPr="000B39A4">
        <w:rPr>
          <w:rFonts w:eastAsia="Calibri"/>
          <w:sz w:val="24"/>
          <w:szCs w:val="28"/>
        </w:rPr>
        <w:t xml:space="preserve"> в рейтинге 16-</w:t>
      </w:r>
      <w:r w:rsidRPr="000B39A4">
        <w:rPr>
          <w:rFonts w:eastAsia="Calibri"/>
          <w:i/>
          <w:sz w:val="24"/>
          <w:szCs w:val="28"/>
        </w:rPr>
        <w:t>ти</w:t>
      </w:r>
      <w:r w:rsidRPr="000B39A4">
        <w:rPr>
          <w:rFonts w:eastAsia="Calibri"/>
          <w:sz w:val="24"/>
          <w:szCs w:val="28"/>
        </w:rPr>
        <w:t xml:space="preserve"> областных центров</w:t>
      </w:r>
      <w:r>
        <w:rPr>
          <w:rFonts w:eastAsia="Calibri"/>
          <w:sz w:val="24"/>
          <w:szCs w:val="28"/>
        </w:rPr>
        <w:t xml:space="preserve"> </w:t>
      </w:r>
      <w:r w:rsidRPr="000B39A4">
        <w:rPr>
          <w:rFonts w:eastAsia="Calibri"/>
          <w:sz w:val="24"/>
          <w:szCs w:val="28"/>
        </w:rPr>
        <w:t xml:space="preserve">ЦФО по </w:t>
      </w:r>
      <w:r>
        <w:rPr>
          <w:rFonts w:eastAsia="Calibri"/>
          <w:sz w:val="24"/>
          <w:szCs w:val="28"/>
        </w:rPr>
        <w:br/>
        <w:t xml:space="preserve">                    </w:t>
      </w:r>
      <w:r w:rsidRPr="000B39A4">
        <w:rPr>
          <w:rFonts w:eastAsia="Calibri"/>
          <w:sz w:val="24"/>
          <w:szCs w:val="28"/>
        </w:rPr>
        <w:t xml:space="preserve">наиболее высокому уровню среднемесячной заработной платы работников крупных и </w:t>
      </w:r>
      <w:r>
        <w:rPr>
          <w:rFonts w:eastAsia="Calibri"/>
          <w:sz w:val="24"/>
          <w:szCs w:val="28"/>
        </w:rPr>
        <w:br/>
        <w:t xml:space="preserve">                    </w:t>
      </w:r>
      <w:r w:rsidRPr="000B39A4">
        <w:rPr>
          <w:rFonts w:eastAsia="Calibri"/>
          <w:sz w:val="24"/>
          <w:szCs w:val="28"/>
        </w:rPr>
        <w:t xml:space="preserve">средних организаций в 1 полугодии 2019 года. </w:t>
      </w:r>
    </w:p>
    <w:p w:rsidR="009C5522" w:rsidRPr="00966AE1" w:rsidRDefault="009C5522" w:rsidP="009C5522">
      <w:pPr>
        <w:spacing w:line="288" w:lineRule="auto"/>
        <w:ind w:firstLine="709"/>
        <w:jc w:val="both"/>
        <w:rPr>
          <w:sz w:val="24"/>
          <w:szCs w:val="24"/>
        </w:rPr>
      </w:pPr>
      <w:r w:rsidRPr="00966AE1">
        <w:rPr>
          <w:sz w:val="24"/>
          <w:szCs w:val="24"/>
        </w:rPr>
        <w:t xml:space="preserve">Повышение оплаты труда работников крупных и средних предприятий формировалось на фоне увеличения численности работников и повышения ФЗП. Согласно сведениям, полученным </w:t>
      </w:r>
      <w:r w:rsidRPr="00966AE1">
        <w:rPr>
          <w:sz w:val="24"/>
          <w:szCs w:val="24"/>
        </w:rPr>
        <w:lastRenderedPageBreak/>
        <w:t xml:space="preserve">от хозяйствующих субъектов города Твери для разработки прогноза, треть организаций намерены в 2019 году повысить ФЗП на 5% и </w:t>
      </w:r>
      <w:r w:rsidR="000E2D8D">
        <w:rPr>
          <w:sz w:val="24"/>
          <w:szCs w:val="24"/>
        </w:rPr>
        <w:t>более</w:t>
      </w:r>
      <w:r w:rsidRPr="00966AE1">
        <w:rPr>
          <w:sz w:val="24"/>
          <w:szCs w:val="24"/>
        </w:rPr>
        <w:t>. Увеличение ФЗП предприятий вагоностроительного холдинга обеспечивает прирост суммарного ФЗП работников экономики города Твери в 2019 году в среднем на 4% (</w:t>
      </w:r>
      <w:r w:rsidRPr="00966AE1">
        <w:rPr>
          <w:i/>
          <w:sz w:val="24"/>
          <w:szCs w:val="24"/>
        </w:rPr>
        <w:t>для сведения:</w:t>
      </w:r>
      <w:r w:rsidRPr="00966AE1">
        <w:rPr>
          <w:sz w:val="24"/>
          <w:szCs w:val="24"/>
        </w:rPr>
        <w:t xml:space="preserve"> темп роста ФЗП ОАО «Тверской вагоностроительный завод» к 2018 году – 133,4%). В последующий период темпы роста будут </w:t>
      </w:r>
      <w:r w:rsidR="000E2D8D">
        <w:rPr>
          <w:sz w:val="24"/>
          <w:szCs w:val="24"/>
        </w:rPr>
        <w:t>умереннее от 5</w:t>
      </w:r>
      <w:r w:rsidRPr="00966AE1">
        <w:rPr>
          <w:sz w:val="24"/>
          <w:szCs w:val="24"/>
        </w:rPr>
        <w:t>%</w:t>
      </w:r>
      <w:r w:rsidR="000E2D8D">
        <w:rPr>
          <w:sz w:val="24"/>
          <w:szCs w:val="24"/>
        </w:rPr>
        <w:t xml:space="preserve"> до </w:t>
      </w:r>
      <w:r w:rsidRPr="00966AE1">
        <w:rPr>
          <w:sz w:val="24"/>
          <w:szCs w:val="24"/>
        </w:rPr>
        <w:t xml:space="preserve">7% в год. </w:t>
      </w:r>
    </w:p>
    <w:p w:rsidR="009C5522" w:rsidRPr="00966AE1" w:rsidRDefault="009C5522" w:rsidP="009C5522">
      <w:pPr>
        <w:spacing w:line="288" w:lineRule="auto"/>
        <w:ind w:firstLine="708"/>
        <w:jc w:val="both"/>
        <w:rPr>
          <w:sz w:val="24"/>
          <w:szCs w:val="24"/>
        </w:rPr>
      </w:pPr>
      <w:r w:rsidRPr="00966AE1">
        <w:rPr>
          <w:sz w:val="24"/>
          <w:szCs w:val="24"/>
        </w:rPr>
        <w:t xml:space="preserve">В соответствии с федеральным законодательством (ст. 1 Закона от 19.06.2000 № 82-ФЗ) минимальный размер заработной платы в Российской Федерации с 01.01.2019 составил 11 280 рублей.   </w:t>
      </w:r>
    </w:p>
    <w:p w:rsidR="009C5522" w:rsidRPr="00966AE1" w:rsidRDefault="009C5522" w:rsidP="009C5522">
      <w:pPr>
        <w:shd w:val="clear" w:color="auto" w:fill="FFFFFF"/>
        <w:spacing w:line="288" w:lineRule="auto"/>
        <w:jc w:val="both"/>
        <w:rPr>
          <w:sz w:val="24"/>
          <w:szCs w:val="24"/>
        </w:rPr>
      </w:pPr>
      <w:r w:rsidRPr="00966AE1">
        <w:rPr>
          <w:color w:val="003399"/>
          <w:sz w:val="24"/>
          <w:szCs w:val="24"/>
        </w:rPr>
        <w:tab/>
      </w:r>
      <w:r w:rsidRPr="00966AE1">
        <w:rPr>
          <w:sz w:val="24"/>
          <w:szCs w:val="24"/>
        </w:rPr>
        <w:t>В 2018 году завершилась реализация Указа Президента Российской Федерации от 07.05.2012 № 597 «О мероприятиях по реализации государственной социальной политики» по  поэтапному повышению средней заработной платы отдельных категорий работников бюджетной сферы, однако основной задачей при проведении мероприятий по реализации Национальных проектов остается сохранение курса на ежегодное повышение оплаты труда работников бюджетной сферы в целях сохранения высокопрофессиональных кадров.</w:t>
      </w:r>
    </w:p>
    <w:p w:rsidR="009C5522" w:rsidRPr="00966AE1" w:rsidRDefault="009C5522" w:rsidP="009C5522">
      <w:pPr>
        <w:shd w:val="clear" w:color="auto" w:fill="FFFFFF"/>
        <w:autoSpaceDE w:val="0"/>
        <w:autoSpaceDN w:val="0"/>
        <w:adjustRightInd w:val="0"/>
        <w:spacing w:line="288" w:lineRule="auto"/>
        <w:ind w:firstLine="709"/>
        <w:jc w:val="both"/>
        <w:rPr>
          <w:sz w:val="24"/>
          <w:szCs w:val="24"/>
        </w:rPr>
      </w:pPr>
      <w:r w:rsidRPr="00966AE1">
        <w:rPr>
          <w:sz w:val="24"/>
          <w:szCs w:val="24"/>
        </w:rPr>
        <w:t xml:space="preserve">Совершенствование оплаты труда научных работников и педагогического состава высших учебных заведений города Твери проводилось с учетом оптимизации численности сотрудников ВУЗов при соблюдении нормативного соотношения количества сотрудников и обучающихся студентов. Оптимизацию численности предполагается завершить в 2019 году, в </w:t>
      </w:r>
      <w:r w:rsidR="000E2D8D">
        <w:rPr>
          <w:sz w:val="24"/>
          <w:szCs w:val="24"/>
        </w:rPr>
        <w:t xml:space="preserve">последующий период </w:t>
      </w:r>
      <w:r w:rsidRPr="00966AE1">
        <w:rPr>
          <w:sz w:val="24"/>
          <w:szCs w:val="24"/>
        </w:rPr>
        <w:t xml:space="preserve">она останется без изменения. Суммарный фонд оплаты труда в ВУЗах в 2019 году увеличится на 4,4% к 2018 году, в плановом периоде – ежегодно от 1,4% до 3,2%.  </w:t>
      </w:r>
    </w:p>
    <w:p w:rsidR="009C5522" w:rsidRPr="001A22EF" w:rsidRDefault="009C5522" w:rsidP="000E2D8D">
      <w:pPr>
        <w:autoSpaceDE w:val="0"/>
        <w:autoSpaceDN w:val="0"/>
        <w:adjustRightInd w:val="0"/>
        <w:ind w:firstLine="709"/>
        <w:jc w:val="both"/>
        <w:rPr>
          <w:sz w:val="14"/>
          <w:szCs w:val="24"/>
        </w:rPr>
      </w:pPr>
    </w:p>
    <w:tbl>
      <w:tblPr>
        <w:tblStyle w:val="af1"/>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6062"/>
        <w:gridCol w:w="4252"/>
      </w:tblGrid>
      <w:tr w:rsidR="009C5522" w:rsidRPr="00D5373D" w:rsidTr="009C5522">
        <w:trPr>
          <w:trHeight w:val="3636"/>
        </w:trPr>
        <w:tc>
          <w:tcPr>
            <w:tcW w:w="6062" w:type="dxa"/>
            <w:shd w:val="clear" w:color="auto" w:fill="auto"/>
          </w:tcPr>
          <w:p w:rsidR="009C5522" w:rsidRPr="00D5373D" w:rsidRDefault="009C5522" w:rsidP="009C5522">
            <w:pPr>
              <w:widowControl w:val="0"/>
              <w:shd w:val="clear" w:color="auto" w:fill="FFFFFF"/>
              <w:autoSpaceDE w:val="0"/>
              <w:autoSpaceDN w:val="0"/>
              <w:adjustRightInd w:val="0"/>
              <w:spacing w:line="204" w:lineRule="auto"/>
              <w:rPr>
                <w:sz w:val="21"/>
                <w:szCs w:val="21"/>
              </w:rPr>
            </w:pPr>
            <w:r w:rsidRPr="00D5373D">
              <w:rPr>
                <w:color w:val="0070C0"/>
                <w:sz w:val="21"/>
                <w:szCs w:val="21"/>
              </w:rPr>
              <w:t xml:space="preserve">   </w:t>
            </w:r>
            <w:r w:rsidRPr="00D5373D">
              <w:rPr>
                <w:rFonts w:ascii="Arial" w:eastAsia="Calibri" w:hAnsi="Arial" w:cs="Arial"/>
                <w:noProof/>
                <w:color w:val="0070C0"/>
                <w:sz w:val="21"/>
                <w:szCs w:val="21"/>
              </w:rPr>
              <w:drawing>
                <wp:inline distT="0" distB="0" distL="0" distR="0" wp14:anchorId="637A99E3" wp14:editId="716E7F5D">
                  <wp:extent cx="343046" cy="263348"/>
                  <wp:effectExtent l="0" t="0" r="0" b="3810"/>
                  <wp:docPr id="28" name="Рисунок 28" descr="Описание: https://im0-tub-ru.yandex.net/i?id=6db6ded92a96e65db5dbf479ee453ddd&amp;n=33&amp;h=190&amp;w=25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https://im0-tub-ru.yandex.net/i?id=6db6ded92a96e65db5dbf479ee453ddd&amp;n=33&amp;h=190&amp;w=254">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9309" cy="268156"/>
                          </a:xfrm>
                          <a:prstGeom prst="rect">
                            <a:avLst/>
                          </a:prstGeom>
                          <a:noFill/>
                          <a:ln>
                            <a:noFill/>
                          </a:ln>
                        </pic:spPr>
                      </pic:pic>
                    </a:graphicData>
                  </a:graphic>
                </wp:inline>
              </w:drawing>
            </w:r>
            <w:r w:rsidRPr="00D5373D">
              <w:rPr>
                <w:sz w:val="21"/>
                <w:szCs w:val="21"/>
              </w:rPr>
              <w:t xml:space="preserve">Наполняемость доходной части бюджета во многом определяется результатами работы производственного сектора экономики. </w:t>
            </w:r>
          </w:p>
          <w:p w:rsidR="009C5522" w:rsidRPr="00D5373D" w:rsidRDefault="009C5522" w:rsidP="009C5522">
            <w:pPr>
              <w:widowControl w:val="0"/>
              <w:shd w:val="clear" w:color="auto" w:fill="FFFFFF"/>
              <w:autoSpaceDE w:val="0"/>
              <w:autoSpaceDN w:val="0"/>
              <w:adjustRightInd w:val="0"/>
              <w:spacing w:line="204" w:lineRule="auto"/>
              <w:rPr>
                <w:sz w:val="21"/>
                <w:szCs w:val="21"/>
              </w:rPr>
            </w:pPr>
            <w:r w:rsidRPr="00D5373D">
              <w:rPr>
                <w:sz w:val="21"/>
                <w:szCs w:val="21"/>
              </w:rPr>
              <w:t xml:space="preserve">            По сведениям организаций, представленным для разработки прогноза, в 2019 году: </w:t>
            </w:r>
          </w:p>
          <w:p w:rsidR="009C5522" w:rsidRPr="00D5373D" w:rsidRDefault="009C5522" w:rsidP="009C5522">
            <w:pPr>
              <w:widowControl w:val="0"/>
              <w:numPr>
                <w:ilvl w:val="0"/>
                <w:numId w:val="36"/>
              </w:numPr>
              <w:shd w:val="clear" w:color="auto" w:fill="FFFFFF"/>
              <w:autoSpaceDE w:val="0"/>
              <w:autoSpaceDN w:val="0"/>
              <w:adjustRightInd w:val="0"/>
              <w:spacing w:line="204" w:lineRule="auto"/>
              <w:contextualSpacing/>
              <w:rPr>
                <w:rFonts w:eastAsia="Calibri"/>
                <w:sz w:val="21"/>
                <w:szCs w:val="21"/>
                <w:lang w:eastAsia="en-US"/>
              </w:rPr>
            </w:pPr>
            <w:r w:rsidRPr="00D5373D">
              <w:rPr>
                <w:rFonts w:eastAsia="Calibri"/>
                <w:sz w:val="21"/>
                <w:szCs w:val="21"/>
                <w:lang w:eastAsia="en-US"/>
              </w:rPr>
              <w:t>56% хозяйствующих субъектов планируют повысить объем ФЗП;</w:t>
            </w:r>
          </w:p>
          <w:p w:rsidR="009C5522" w:rsidRPr="00D5373D" w:rsidRDefault="009C5522" w:rsidP="009C5522">
            <w:pPr>
              <w:widowControl w:val="0"/>
              <w:numPr>
                <w:ilvl w:val="0"/>
                <w:numId w:val="36"/>
              </w:numPr>
              <w:shd w:val="clear" w:color="auto" w:fill="FFFFFF"/>
              <w:autoSpaceDE w:val="0"/>
              <w:autoSpaceDN w:val="0"/>
              <w:adjustRightInd w:val="0"/>
              <w:spacing w:line="204" w:lineRule="auto"/>
              <w:contextualSpacing/>
              <w:rPr>
                <w:rFonts w:ascii="Times New Roman CYR" w:eastAsia="Calibri" w:hAnsi="Times New Roman CYR" w:cs="Times New Roman CYR"/>
                <w:sz w:val="21"/>
                <w:szCs w:val="21"/>
                <w:lang w:eastAsia="en-US"/>
              </w:rPr>
            </w:pPr>
            <w:r w:rsidRPr="00D5373D">
              <w:rPr>
                <w:rFonts w:eastAsia="Calibri"/>
                <w:sz w:val="21"/>
                <w:szCs w:val="21"/>
                <w:lang w:eastAsia="en-US"/>
              </w:rPr>
              <w:t xml:space="preserve">78% организаций </w:t>
            </w:r>
            <w:proofErr w:type="gramStart"/>
            <w:r w:rsidRPr="00D5373D">
              <w:rPr>
                <w:rFonts w:eastAsia="Calibri"/>
                <w:sz w:val="21"/>
                <w:szCs w:val="21"/>
                <w:lang w:eastAsia="en-US"/>
              </w:rPr>
              <w:t>намерены</w:t>
            </w:r>
            <w:proofErr w:type="gramEnd"/>
            <w:r w:rsidRPr="00D5373D">
              <w:rPr>
                <w:rFonts w:eastAsia="Calibri"/>
                <w:sz w:val="21"/>
                <w:szCs w:val="21"/>
                <w:lang w:eastAsia="en-US"/>
              </w:rPr>
              <w:t xml:space="preserve"> сохранить  численность трудовых коллективов на уровне 2018 года или увеличить  </w:t>
            </w:r>
            <w:r w:rsidRPr="00D5373D">
              <w:rPr>
                <w:rFonts w:eastAsia="Calibri"/>
                <w:sz w:val="21"/>
                <w:szCs w:val="21"/>
                <w:lang w:eastAsia="en-US"/>
              </w:rPr>
              <w:br/>
              <w:t>численность занятых работников.</w:t>
            </w:r>
          </w:p>
          <w:p w:rsidR="009C5522" w:rsidRPr="00D5373D" w:rsidRDefault="009C5522" w:rsidP="009C5522">
            <w:pPr>
              <w:widowControl w:val="0"/>
              <w:shd w:val="clear" w:color="auto" w:fill="FFFFFF"/>
              <w:autoSpaceDE w:val="0"/>
              <w:autoSpaceDN w:val="0"/>
              <w:adjustRightInd w:val="0"/>
              <w:spacing w:line="204" w:lineRule="auto"/>
              <w:rPr>
                <w:rFonts w:ascii="Times New Roman CYR" w:hAnsi="Times New Roman CYR" w:cs="Times New Roman CYR"/>
                <w:color w:val="0070C0"/>
                <w:sz w:val="21"/>
                <w:szCs w:val="21"/>
              </w:rPr>
            </w:pPr>
            <w:r w:rsidRPr="00D5373D">
              <w:rPr>
                <w:sz w:val="21"/>
                <w:szCs w:val="21"/>
              </w:rPr>
              <w:t>ОАО «Тверской вагоностроительный завод» в 2019 году планирует увеличить численность работников на 24,6%, ФЗП - на 33,4%.</w:t>
            </w:r>
            <w:r w:rsidRPr="00D5373D">
              <w:rPr>
                <w:sz w:val="21"/>
                <w:szCs w:val="21"/>
              </w:rPr>
              <w:br/>
              <w:t xml:space="preserve">О намерениях повысить численность работников и ФЗП заявили не только организации  вагоностроительного холдинга, но и: </w:t>
            </w:r>
          </w:p>
        </w:tc>
        <w:tc>
          <w:tcPr>
            <w:tcW w:w="4252" w:type="dxa"/>
          </w:tcPr>
          <w:p w:rsidR="009C5522" w:rsidRPr="00D5373D" w:rsidRDefault="009C5522" w:rsidP="009C5522">
            <w:pPr>
              <w:widowControl w:val="0"/>
              <w:shd w:val="clear" w:color="auto" w:fill="FFFFFF"/>
              <w:autoSpaceDE w:val="0"/>
              <w:autoSpaceDN w:val="0"/>
              <w:adjustRightInd w:val="0"/>
              <w:spacing w:line="204" w:lineRule="auto"/>
              <w:contextualSpacing/>
              <w:rPr>
                <w:rFonts w:eastAsia="Calibri"/>
                <w:sz w:val="21"/>
                <w:szCs w:val="21"/>
                <w:lang w:eastAsia="en-US"/>
              </w:rPr>
            </w:pP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ЗАО «Тверской экскаватор»;</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 xml:space="preserve">АО «Диэлектрические </w:t>
            </w:r>
            <w:r w:rsidRPr="00D5373D">
              <w:rPr>
                <w:rFonts w:eastAsia="Calibri"/>
                <w:sz w:val="21"/>
                <w:szCs w:val="21"/>
                <w:lang w:eastAsia="en-US"/>
              </w:rPr>
              <w:br/>
              <w:t xml:space="preserve">       кабельные системы»;</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«ДКС-Развитие»;</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ОАО «</w:t>
            </w:r>
            <w:proofErr w:type="spellStart"/>
            <w:r w:rsidRPr="00D5373D">
              <w:rPr>
                <w:rFonts w:eastAsia="Calibri"/>
                <w:sz w:val="21"/>
                <w:szCs w:val="21"/>
                <w:lang w:eastAsia="en-US"/>
              </w:rPr>
              <w:t>Тверьэнергокабель</w:t>
            </w:r>
            <w:proofErr w:type="spellEnd"/>
            <w:r w:rsidRPr="00D5373D">
              <w:rPr>
                <w:rFonts w:eastAsia="Calibri"/>
                <w:sz w:val="21"/>
                <w:szCs w:val="21"/>
                <w:lang w:eastAsia="en-US"/>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sz w:val="21"/>
                <w:szCs w:val="21"/>
              </w:rPr>
            </w:pPr>
            <w:r w:rsidRPr="00D5373D">
              <w:rPr>
                <w:rFonts w:eastAsia="Calibri"/>
                <w:sz w:val="21"/>
                <w:szCs w:val="21"/>
                <w:lang w:eastAsia="en-US"/>
              </w:rPr>
              <w:t>ООО «Система 5</w:t>
            </w:r>
            <w:r w:rsidRPr="00D5373D">
              <w:rPr>
                <w:sz w:val="21"/>
                <w:szCs w:val="21"/>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sz w:val="21"/>
                <w:szCs w:val="21"/>
              </w:rPr>
            </w:pPr>
            <w:r w:rsidRPr="00D5373D">
              <w:rPr>
                <w:rFonts w:eastAsia="Calibri"/>
                <w:sz w:val="21"/>
                <w:szCs w:val="21"/>
                <w:lang w:eastAsia="en-US"/>
              </w:rPr>
              <w:t>ООО НПП «Система</w:t>
            </w:r>
            <w:r w:rsidRPr="00D5373D">
              <w:rPr>
                <w:sz w:val="21"/>
                <w:szCs w:val="21"/>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АО «ТКСМ-2»;</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«Тверская генерация»;</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«Тверь Водоканал»;</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w:t>
            </w:r>
            <w:proofErr w:type="spellStart"/>
            <w:r w:rsidRPr="00D5373D">
              <w:rPr>
                <w:rFonts w:eastAsia="Calibri"/>
                <w:sz w:val="21"/>
                <w:szCs w:val="21"/>
                <w:lang w:eastAsia="en-US"/>
              </w:rPr>
              <w:t>Нефтегазгеофизика</w:t>
            </w:r>
            <w:proofErr w:type="spellEnd"/>
            <w:r w:rsidRPr="00D5373D">
              <w:rPr>
                <w:rFonts w:eastAsia="Calibri"/>
                <w:sz w:val="21"/>
                <w:szCs w:val="21"/>
                <w:lang w:eastAsia="en-US"/>
              </w:rPr>
              <w:t>»</w:t>
            </w:r>
            <w:r w:rsidRPr="00D5373D">
              <w:rPr>
                <w:rFonts w:eastAsia="Calibri"/>
                <w:sz w:val="21"/>
                <w:szCs w:val="21"/>
                <w:lang w:val="en-US" w:eastAsia="en-US"/>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ООО «</w:t>
            </w:r>
            <w:proofErr w:type="spellStart"/>
            <w:r w:rsidRPr="00D5373D">
              <w:rPr>
                <w:rFonts w:eastAsia="Calibri"/>
                <w:sz w:val="21"/>
                <w:szCs w:val="21"/>
                <w:lang w:eastAsia="en-US"/>
              </w:rPr>
              <w:t>Транстех</w:t>
            </w:r>
            <w:proofErr w:type="spellEnd"/>
            <w:r w:rsidRPr="00D5373D">
              <w:rPr>
                <w:rFonts w:eastAsia="Calibri"/>
                <w:sz w:val="21"/>
                <w:szCs w:val="21"/>
                <w:lang w:eastAsia="en-US"/>
              </w:rPr>
              <w:t>»</w:t>
            </w:r>
            <w:r w:rsidRPr="00D5373D">
              <w:rPr>
                <w:rFonts w:eastAsia="Calibri"/>
                <w:sz w:val="21"/>
                <w:szCs w:val="21"/>
                <w:lang w:val="en-US" w:eastAsia="en-US"/>
              </w:rPr>
              <w:t>;</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rFonts w:eastAsia="Calibri"/>
                <w:sz w:val="21"/>
                <w:szCs w:val="21"/>
                <w:lang w:eastAsia="en-US"/>
              </w:rPr>
              <w:t>ЗАО «Хлеб»;</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1"/>
                <w:szCs w:val="21"/>
                <w:lang w:eastAsia="en-US"/>
              </w:rPr>
            </w:pPr>
            <w:r w:rsidRPr="00D5373D">
              <w:rPr>
                <w:noProof/>
                <w:sz w:val="21"/>
                <w:szCs w:val="21"/>
              </w:rPr>
              <mc:AlternateContent>
                <mc:Choice Requires="wps">
                  <w:drawing>
                    <wp:anchor distT="0" distB="0" distL="114300" distR="114300" simplePos="0" relativeHeight="251720704" behindDoc="0" locked="0" layoutInCell="1" allowOverlap="1" wp14:anchorId="675607DE" wp14:editId="6A78B22D">
                      <wp:simplePos x="0" y="0"/>
                      <wp:positionH relativeFrom="column">
                        <wp:posOffset>-24130</wp:posOffset>
                      </wp:positionH>
                      <wp:positionV relativeFrom="paragraph">
                        <wp:posOffset>39537</wp:posOffset>
                      </wp:positionV>
                      <wp:extent cx="231775" cy="509905"/>
                      <wp:effectExtent l="13335" t="81915" r="0" b="67310"/>
                      <wp:wrapNone/>
                      <wp:docPr id="18" name="Выгнутая влево стрелка 18"/>
                      <wp:cNvGraphicFramePr/>
                      <a:graphic xmlns:a="http://schemas.openxmlformats.org/drawingml/2006/main">
                        <a:graphicData uri="http://schemas.microsoft.com/office/word/2010/wordprocessingShape">
                          <wps:wsp>
                            <wps:cNvSpPr/>
                            <wps:spPr>
                              <a:xfrm rot="14341252">
                                <a:off x="0" y="0"/>
                                <a:ext cx="231775" cy="509905"/>
                              </a:xfrm>
                              <a:prstGeom prst="curvedRightArrow">
                                <a:avLst>
                                  <a:gd name="adj1" fmla="val 25000"/>
                                  <a:gd name="adj2" fmla="val 83060"/>
                                  <a:gd name="adj3" fmla="val 57692"/>
                                </a:avLst>
                              </a:prstGeom>
                              <a:solidFill>
                                <a:sysClr val="window" lastClr="FFFFFF">
                                  <a:lumMod val="65000"/>
                                </a:sysClr>
                              </a:solidFill>
                              <a:ln w="9525" cap="flat" cmpd="sng" algn="ctr">
                                <a:solidFill>
                                  <a:sysClr val="windowText" lastClr="000000">
                                    <a:lumMod val="50000"/>
                                    <a:lumOff val="50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8" o:spid="_x0000_s1026" type="#_x0000_t102" style="position:absolute;margin-left:-1.9pt;margin-top:3.1pt;width:18.25pt;height:40.15pt;rotation:-7928488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" adj="13445,18750,9139" fillcolor="#a6a6a6" strokecolor="#7f7f7f">
                      <v:stroke dashstyle="1 1"/>
                    </v:shape>
                  </w:pict>
                </mc:Fallback>
              </mc:AlternateContent>
            </w:r>
            <w:r w:rsidRPr="00D5373D">
              <w:rPr>
                <w:rFonts w:eastAsia="Calibri"/>
                <w:sz w:val="21"/>
                <w:szCs w:val="21"/>
                <w:lang w:eastAsia="en-US"/>
              </w:rPr>
              <w:t>ОАО «Волжский пекарь»;</w:t>
            </w:r>
          </w:p>
          <w:p w:rsidR="009C5522" w:rsidRPr="00D5373D" w:rsidRDefault="009C5522" w:rsidP="009C5522">
            <w:pPr>
              <w:widowControl w:val="0"/>
              <w:numPr>
                <w:ilvl w:val="0"/>
                <w:numId w:val="35"/>
              </w:numPr>
              <w:shd w:val="clear" w:color="auto" w:fill="FFFFFF"/>
              <w:autoSpaceDE w:val="0"/>
              <w:autoSpaceDN w:val="0"/>
              <w:adjustRightInd w:val="0"/>
              <w:spacing w:line="204" w:lineRule="auto"/>
              <w:ind w:left="567" w:hanging="567"/>
              <w:contextualSpacing/>
              <w:rPr>
                <w:rFonts w:ascii="Times New Roman CYR" w:eastAsia="Calibri" w:hAnsi="Times New Roman CYR" w:cs="Times New Roman CYR"/>
                <w:color w:val="0070C0"/>
                <w:sz w:val="21"/>
                <w:szCs w:val="21"/>
                <w:lang w:eastAsia="en-US"/>
              </w:rPr>
            </w:pPr>
            <w:r w:rsidRPr="00D5373D">
              <w:rPr>
                <w:rFonts w:eastAsia="Calibri"/>
                <w:sz w:val="21"/>
                <w:szCs w:val="21"/>
                <w:lang w:eastAsia="en-US"/>
              </w:rPr>
              <w:t xml:space="preserve">ООО «Орион </w:t>
            </w:r>
            <w:proofErr w:type="spellStart"/>
            <w:r w:rsidRPr="00D5373D">
              <w:rPr>
                <w:rFonts w:eastAsia="Calibri"/>
                <w:sz w:val="21"/>
                <w:szCs w:val="21"/>
                <w:lang w:eastAsia="en-US"/>
              </w:rPr>
              <w:t>Интернейшнл</w:t>
            </w:r>
            <w:proofErr w:type="spellEnd"/>
            <w:r w:rsidRPr="00D5373D">
              <w:rPr>
                <w:rFonts w:eastAsia="Calibri"/>
                <w:sz w:val="21"/>
                <w:szCs w:val="21"/>
                <w:lang w:eastAsia="en-US"/>
              </w:rPr>
              <w:t xml:space="preserve"> Евро» </w:t>
            </w:r>
            <w:r w:rsidRPr="00D5373D">
              <w:rPr>
                <w:rFonts w:eastAsia="Calibri"/>
                <w:sz w:val="21"/>
                <w:szCs w:val="21"/>
                <w:lang w:eastAsia="en-US"/>
              </w:rPr>
              <w:br/>
              <w:t xml:space="preserve">          в городе Твери.</w:t>
            </w:r>
          </w:p>
        </w:tc>
      </w:tr>
    </w:tbl>
    <w:p w:rsidR="006C243E" w:rsidRPr="003D1A6E" w:rsidRDefault="006C243E" w:rsidP="006C243E">
      <w:pPr>
        <w:ind w:firstLine="709"/>
        <w:jc w:val="both"/>
        <w:rPr>
          <w:sz w:val="14"/>
          <w:szCs w:val="24"/>
        </w:rPr>
      </w:pPr>
    </w:p>
    <w:p w:rsidR="009C5522" w:rsidRPr="00966AE1" w:rsidRDefault="006C243E" w:rsidP="009C5522">
      <w:pPr>
        <w:spacing w:line="288" w:lineRule="auto"/>
        <w:ind w:firstLine="709"/>
        <w:jc w:val="both"/>
        <w:rPr>
          <w:sz w:val="24"/>
          <w:szCs w:val="24"/>
        </w:rPr>
      </w:pPr>
      <w:proofErr w:type="gramStart"/>
      <w:r>
        <w:rPr>
          <w:sz w:val="24"/>
          <w:szCs w:val="24"/>
        </w:rPr>
        <w:t xml:space="preserve">Учитывая влияние факторов, </w:t>
      </w:r>
      <w:r w:rsidR="009C5522" w:rsidRPr="00966AE1">
        <w:rPr>
          <w:sz w:val="24"/>
          <w:szCs w:val="24"/>
        </w:rPr>
        <w:t>ФЗП работников экономик</w:t>
      </w:r>
      <w:r w:rsidR="003D1A6E">
        <w:rPr>
          <w:sz w:val="24"/>
          <w:szCs w:val="24"/>
        </w:rPr>
        <w:t>и</w:t>
      </w:r>
      <w:r w:rsidR="009C5522" w:rsidRPr="00966AE1">
        <w:rPr>
          <w:sz w:val="24"/>
          <w:szCs w:val="24"/>
        </w:rPr>
        <w:t xml:space="preserve"> города Твери в 2019 году увеличится на 9,5% к 2018 году.</w:t>
      </w:r>
      <w:proofErr w:type="gramEnd"/>
      <w:r w:rsidR="009C5522" w:rsidRPr="00966AE1">
        <w:rPr>
          <w:sz w:val="24"/>
          <w:szCs w:val="24"/>
        </w:rPr>
        <w:t xml:space="preserve"> </w:t>
      </w:r>
      <w:r>
        <w:rPr>
          <w:sz w:val="24"/>
          <w:szCs w:val="24"/>
        </w:rPr>
        <w:t>В долгосрочн</w:t>
      </w:r>
      <w:r w:rsidR="003D1A6E">
        <w:rPr>
          <w:sz w:val="24"/>
          <w:szCs w:val="24"/>
        </w:rPr>
        <w:t>ом</w:t>
      </w:r>
      <w:r>
        <w:rPr>
          <w:sz w:val="24"/>
          <w:szCs w:val="24"/>
        </w:rPr>
        <w:t xml:space="preserve"> период</w:t>
      </w:r>
      <w:r w:rsidR="003D1A6E">
        <w:rPr>
          <w:sz w:val="24"/>
          <w:szCs w:val="24"/>
        </w:rPr>
        <w:t>е</w:t>
      </w:r>
      <w:r>
        <w:rPr>
          <w:sz w:val="24"/>
          <w:szCs w:val="24"/>
        </w:rPr>
        <w:t xml:space="preserve"> до 2025 года </w:t>
      </w:r>
      <w:r w:rsidR="009C5522" w:rsidRPr="00966AE1">
        <w:rPr>
          <w:sz w:val="24"/>
          <w:szCs w:val="24"/>
        </w:rPr>
        <w:t xml:space="preserve">прогнозируется повышение ФЗП от 9,4% до </w:t>
      </w:r>
      <w:r>
        <w:rPr>
          <w:sz w:val="24"/>
          <w:szCs w:val="24"/>
        </w:rPr>
        <w:t>7</w:t>
      </w:r>
      <w:r w:rsidR="009C5522" w:rsidRPr="00966AE1">
        <w:rPr>
          <w:sz w:val="24"/>
          <w:szCs w:val="24"/>
        </w:rPr>
        <w:t xml:space="preserve">% </w:t>
      </w:r>
      <w:r>
        <w:rPr>
          <w:sz w:val="24"/>
          <w:szCs w:val="24"/>
        </w:rPr>
        <w:t>ежегодно</w:t>
      </w:r>
      <w:r w:rsidR="009C5522" w:rsidRPr="00966AE1">
        <w:rPr>
          <w:sz w:val="24"/>
          <w:szCs w:val="24"/>
        </w:rPr>
        <w:t xml:space="preserve">. </w:t>
      </w:r>
    </w:p>
    <w:p w:rsidR="009C5522" w:rsidRPr="003D1A6E" w:rsidRDefault="009C5522" w:rsidP="009C5522">
      <w:pPr>
        <w:autoSpaceDE w:val="0"/>
        <w:autoSpaceDN w:val="0"/>
        <w:adjustRightInd w:val="0"/>
        <w:jc w:val="center"/>
        <w:rPr>
          <w:sz w:val="10"/>
          <w:szCs w:val="10"/>
        </w:rPr>
      </w:pPr>
    </w:p>
    <w:p w:rsidR="009C5522" w:rsidRPr="003D1A6E" w:rsidRDefault="009C5522" w:rsidP="009C5522">
      <w:pPr>
        <w:autoSpaceDE w:val="0"/>
        <w:autoSpaceDN w:val="0"/>
        <w:adjustRightInd w:val="0"/>
        <w:jc w:val="center"/>
        <w:rPr>
          <w:b/>
          <w:sz w:val="14"/>
          <w:szCs w:val="10"/>
        </w:rPr>
      </w:pPr>
      <w:r w:rsidRPr="00966AE1">
        <w:rPr>
          <w:b/>
          <w:sz w:val="24"/>
          <w:szCs w:val="24"/>
        </w:rPr>
        <w:t xml:space="preserve">Динамика объема ФЗП </w:t>
      </w:r>
      <w:r w:rsidR="006C243E">
        <w:rPr>
          <w:b/>
          <w:sz w:val="24"/>
          <w:szCs w:val="24"/>
        </w:rPr>
        <w:t>на долгосрочный период до 2025 года</w:t>
      </w:r>
      <w:r w:rsidRPr="00966AE1">
        <w:rPr>
          <w:b/>
          <w:sz w:val="24"/>
          <w:szCs w:val="24"/>
        </w:rPr>
        <w:br/>
      </w:r>
    </w:p>
    <w:tbl>
      <w:tblPr>
        <w:tblStyle w:val="af1"/>
        <w:tblpPr w:leftFromText="180" w:rightFromText="180" w:vertAnchor="text" w:tblpX="74" w:tblpY="1"/>
        <w:tblOverlap w:val="never"/>
        <w:tblW w:w="0" w:type="auto"/>
        <w:tblLayout w:type="fixed"/>
        <w:tblLook w:val="04A0" w:firstRow="1" w:lastRow="0" w:firstColumn="1" w:lastColumn="0" w:noHBand="0" w:noVBand="1"/>
      </w:tblPr>
      <w:tblGrid>
        <w:gridCol w:w="1271"/>
        <w:gridCol w:w="1272"/>
        <w:gridCol w:w="1271"/>
        <w:gridCol w:w="1272"/>
        <w:gridCol w:w="1272"/>
        <w:gridCol w:w="1271"/>
        <w:gridCol w:w="1272"/>
        <w:gridCol w:w="1272"/>
      </w:tblGrid>
      <w:tr w:rsidR="00265A63" w:rsidRPr="000D794F" w:rsidTr="001473E3">
        <w:tc>
          <w:tcPr>
            <w:tcW w:w="1271" w:type="dxa"/>
            <w:vMerge w:val="restart"/>
            <w:vAlign w:val="center"/>
          </w:tcPr>
          <w:p w:rsidR="00265A63" w:rsidRPr="000D794F" w:rsidRDefault="00265A63" w:rsidP="001473E3">
            <w:pPr>
              <w:jc w:val="center"/>
              <w:rPr>
                <w:b/>
                <w:sz w:val="24"/>
                <w:szCs w:val="24"/>
              </w:rPr>
            </w:pPr>
            <w:r w:rsidRPr="000D794F">
              <w:rPr>
                <w:b/>
                <w:sz w:val="24"/>
                <w:szCs w:val="24"/>
              </w:rPr>
              <w:t>2018</w:t>
            </w:r>
          </w:p>
        </w:tc>
        <w:tc>
          <w:tcPr>
            <w:tcW w:w="1272" w:type="dxa"/>
            <w:vMerge w:val="restart"/>
            <w:vAlign w:val="center"/>
          </w:tcPr>
          <w:p w:rsidR="00265A63" w:rsidRPr="000D794F" w:rsidRDefault="00265A63" w:rsidP="001473E3">
            <w:pPr>
              <w:jc w:val="center"/>
              <w:rPr>
                <w:b/>
                <w:sz w:val="24"/>
                <w:szCs w:val="24"/>
              </w:rPr>
            </w:pPr>
            <w:r w:rsidRPr="000D794F">
              <w:rPr>
                <w:b/>
                <w:sz w:val="24"/>
                <w:szCs w:val="24"/>
              </w:rPr>
              <w:t xml:space="preserve">2019 </w:t>
            </w:r>
            <w:r w:rsidRPr="000D794F">
              <w:rPr>
                <w:i/>
                <w:sz w:val="22"/>
                <w:szCs w:val="24"/>
              </w:rPr>
              <w:t>оценка</w:t>
            </w:r>
          </w:p>
        </w:tc>
        <w:tc>
          <w:tcPr>
            <w:tcW w:w="7630" w:type="dxa"/>
            <w:gridSpan w:val="6"/>
            <w:vAlign w:val="center"/>
          </w:tcPr>
          <w:p w:rsidR="00265A63" w:rsidRPr="000D794F" w:rsidRDefault="00265A63" w:rsidP="00265A63">
            <w:pPr>
              <w:autoSpaceDE w:val="0"/>
              <w:autoSpaceDN w:val="0"/>
              <w:adjustRightInd w:val="0"/>
              <w:jc w:val="center"/>
              <w:rPr>
                <w:b/>
                <w:sz w:val="24"/>
                <w:szCs w:val="24"/>
              </w:rPr>
            </w:pPr>
            <w:r w:rsidRPr="000D794F">
              <w:rPr>
                <w:b/>
                <w:sz w:val="24"/>
                <w:szCs w:val="24"/>
              </w:rPr>
              <w:t>Прогноз</w:t>
            </w:r>
          </w:p>
        </w:tc>
      </w:tr>
      <w:tr w:rsidR="00265A63" w:rsidRPr="000D794F" w:rsidTr="00265A63">
        <w:tc>
          <w:tcPr>
            <w:tcW w:w="1271" w:type="dxa"/>
            <w:vMerge/>
            <w:vAlign w:val="center"/>
          </w:tcPr>
          <w:p w:rsidR="00265A63" w:rsidRPr="000D794F" w:rsidRDefault="00265A63" w:rsidP="00265A63">
            <w:pPr>
              <w:jc w:val="center"/>
              <w:rPr>
                <w:b/>
                <w:sz w:val="24"/>
                <w:szCs w:val="24"/>
              </w:rPr>
            </w:pPr>
          </w:p>
        </w:tc>
        <w:tc>
          <w:tcPr>
            <w:tcW w:w="1272" w:type="dxa"/>
            <w:vMerge/>
            <w:vAlign w:val="center"/>
          </w:tcPr>
          <w:p w:rsidR="00265A63" w:rsidRPr="000D794F" w:rsidRDefault="00265A63" w:rsidP="00265A63">
            <w:pPr>
              <w:jc w:val="center"/>
              <w:rPr>
                <w:b/>
                <w:sz w:val="24"/>
                <w:szCs w:val="24"/>
              </w:rPr>
            </w:pPr>
          </w:p>
        </w:tc>
        <w:tc>
          <w:tcPr>
            <w:tcW w:w="1271" w:type="dxa"/>
            <w:vAlign w:val="center"/>
          </w:tcPr>
          <w:p w:rsidR="00265A63" w:rsidRPr="000D794F" w:rsidRDefault="00265A63" w:rsidP="00265A63">
            <w:pPr>
              <w:jc w:val="center"/>
              <w:rPr>
                <w:b/>
                <w:sz w:val="24"/>
                <w:szCs w:val="24"/>
              </w:rPr>
            </w:pPr>
            <w:r w:rsidRPr="000D794F">
              <w:rPr>
                <w:b/>
                <w:sz w:val="24"/>
                <w:szCs w:val="24"/>
              </w:rPr>
              <w:t xml:space="preserve">2020 </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2021</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2022</w:t>
            </w:r>
          </w:p>
        </w:tc>
        <w:tc>
          <w:tcPr>
            <w:tcW w:w="1271"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2023</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2024</w:t>
            </w:r>
          </w:p>
        </w:tc>
        <w:tc>
          <w:tcPr>
            <w:tcW w:w="1272" w:type="dxa"/>
            <w:vAlign w:val="center"/>
          </w:tcPr>
          <w:p w:rsidR="00265A63" w:rsidRPr="000D794F" w:rsidRDefault="00265A63" w:rsidP="00265A63">
            <w:pPr>
              <w:autoSpaceDE w:val="0"/>
              <w:autoSpaceDN w:val="0"/>
              <w:adjustRightInd w:val="0"/>
              <w:jc w:val="center"/>
              <w:rPr>
                <w:b/>
                <w:sz w:val="24"/>
                <w:szCs w:val="24"/>
              </w:rPr>
            </w:pPr>
            <w:r w:rsidRPr="000D794F">
              <w:rPr>
                <w:b/>
                <w:sz w:val="24"/>
                <w:szCs w:val="24"/>
              </w:rPr>
              <w:t>2025</w:t>
            </w:r>
          </w:p>
        </w:tc>
      </w:tr>
      <w:tr w:rsidR="009C5522" w:rsidRPr="00966AE1" w:rsidTr="00265A63">
        <w:tc>
          <w:tcPr>
            <w:tcW w:w="10173" w:type="dxa"/>
            <w:gridSpan w:val="8"/>
            <w:shd w:val="clear" w:color="auto" w:fill="auto"/>
            <w:vAlign w:val="center"/>
          </w:tcPr>
          <w:p w:rsidR="009C5522" w:rsidRPr="00354F1F" w:rsidRDefault="009C5522" w:rsidP="00265A63">
            <w:pPr>
              <w:autoSpaceDE w:val="0"/>
              <w:autoSpaceDN w:val="0"/>
              <w:adjustRightInd w:val="0"/>
              <w:jc w:val="center"/>
              <w:rPr>
                <w:color w:val="0070C0"/>
                <w:sz w:val="24"/>
                <w:szCs w:val="24"/>
              </w:rPr>
            </w:pPr>
            <w:r w:rsidRPr="00354F1F">
              <w:rPr>
                <w:sz w:val="24"/>
                <w:szCs w:val="24"/>
              </w:rPr>
              <w:t>Фонд заработной платы, млн. рублей</w:t>
            </w:r>
          </w:p>
        </w:tc>
      </w:tr>
      <w:tr w:rsidR="00265A63" w:rsidRPr="00966AE1" w:rsidTr="00265A63">
        <w:tc>
          <w:tcPr>
            <w:tcW w:w="1271" w:type="dxa"/>
            <w:vAlign w:val="center"/>
          </w:tcPr>
          <w:p w:rsidR="00265A63" w:rsidRPr="00265A63" w:rsidRDefault="00265A63" w:rsidP="00265A63">
            <w:pPr>
              <w:jc w:val="center"/>
              <w:rPr>
                <w:sz w:val="24"/>
                <w:szCs w:val="24"/>
              </w:rPr>
            </w:pPr>
            <w:r w:rsidRPr="00265A63">
              <w:rPr>
                <w:sz w:val="24"/>
                <w:szCs w:val="24"/>
              </w:rPr>
              <w:t>66 326</w:t>
            </w:r>
          </w:p>
        </w:tc>
        <w:tc>
          <w:tcPr>
            <w:tcW w:w="1272" w:type="dxa"/>
            <w:vAlign w:val="center"/>
          </w:tcPr>
          <w:p w:rsidR="00265A63" w:rsidRPr="00265A63" w:rsidRDefault="00265A63" w:rsidP="00265A63">
            <w:pPr>
              <w:jc w:val="center"/>
              <w:rPr>
                <w:sz w:val="24"/>
                <w:szCs w:val="24"/>
              </w:rPr>
            </w:pPr>
            <w:r w:rsidRPr="00265A63">
              <w:rPr>
                <w:sz w:val="24"/>
                <w:szCs w:val="24"/>
              </w:rPr>
              <w:t>72 640</w:t>
            </w:r>
          </w:p>
        </w:tc>
        <w:tc>
          <w:tcPr>
            <w:tcW w:w="1271" w:type="dxa"/>
            <w:vAlign w:val="center"/>
          </w:tcPr>
          <w:p w:rsidR="00265A63" w:rsidRPr="00265A63" w:rsidRDefault="00265A63" w:rsidP="00265A63">
            <w:pPr>
              <w:jc w:val="center"/>
              <w:rPr>
                <w:sz w:val="24"/>
                <w:szCs w:val="24"/>
              </w:rPr>
            </w:pPr>
            <w:r w:rsidRPr="00265A63">
              <w:rPr>
                <w:sz w:val="24"/>
                <w:szCs w:val="24"/>
              </w:rPr>
              <w:t>79 480</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86 548</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94 109</w:t>
            </w:r>
          </w:p>
        </w:tc>
        <w:tc>
          <w:tcPr>
            <w:tcW w:w="1271" w:type="dxa"/>
            <w:vAlign w:val="center"/>
          </w:tcPr>
          <w:p w:rsidR="00265A63" w:rsidRPr="00265A63" w:rsidRDefault="00354F1F" w:rsidP="00265A63">
            <w:pPr>
              <w:autoSpaceDE w:val="0"/>
              <w:autoSpaceDN w:val="0"/>
              <w:adjustRightInd w:val="0"/>
              <w:jc w:val="center"/>
              <w:rPr>
                <w:sz w:val="24"/>
                <w:szCs w:val="24"/>
              </w:rPr>
            </w:pPr>
            <w:r>
              <w:rPr>
                <w:sz w:val="24"/>
                <w:szCs w:val="24"/>
              </w:rPr>
              <w:t>100 697</w:t>
            </w:r>
          </w:p>
        </w:tc>
        <w:tc>
          <w:tcPr>
            <w:tcW w:w="1272" w:type="dxa"/>
            <w:vAlign w:val="center"/>
          </w:tcPr>
          <w:p w:rsidR="00265A63" w:rsidRPr="00265A63" w:rsidRDefault="00354F1F" w:rsidP="00354F1F">
            <w:pPr>
              <w:autoSpaceDE w:val="0"/>
              <w:autoSpaceDN w:val="0"/>
              <w:adjustRightInd w:val="0"/>
              <w:jc w:val="center"/>
              <w:rPr>
                <w:sz w:val="24"/>
                <w:szCs w:val="24"/>
              </w:rPr>
            </w:pPr>
            <w:r>
              <w:rPr>
                <w:sz w:val="24"/>
                <w:szCs w:val="24"/>
              </w:rPr>
              <w:t>107 746</w:t>
            </w:r>
          </w:p>
        </w:tc>
        <w:tc>
          <w:tcPr>
            <w:tcW w:w="1272" w:type="dxa"/>
            <w:vAlign w:val="center"/>
          </w:tcPr>
          <w:p w:rsidR="00265A63" w:rsidRPr="00265A63" w:rsidRDefault="00354F1F" w:rsidP="00265A63">
            <w:pPr>
              <w:autoSpaceDE w:val="0"/>
              <w:autoSpaceDN w:val="0"/>
              <w:adjustRightInd w:val="0"/>
              <w:jc w:val="center"/>
              <w:rPr>
                <w:sz w:val="24"/>
                <w:szCs w:val="24"/>
              </w:rPr>
            </w:pPr>
            <w:r>
              <w:rPr>
                <w:sz w:val="24"/>
                <w:szCs w:val="24"/>
              </w:rPr>
              <w:t>115 288</w:t>
            </w:r>
          </w:p>
        </w:tc>
      </w:tr>
      <w:tr w:rsidR="009C5522" w:rsidRPr="00966AE1" w:rsidTr="00265A63">
        <w:tc>
          <w:tcPr>
            <w:tcW w:w="10173" w:type="dxa"/>
            <w:gridSpan w:val="8"/>
            <w:vAlign w:val="center"/>
          </w:tcPr>
          <w:p w:rsidR="009C5522" w:rsidRPr="00265A63" w:rsidRDefault="009C5522" w:rsidP="00265A63">
            <w:pPr>
              <w:autoSpaceDE w:val="0"/>
              <w:autoSpaceDN w:val="0"/>
              <w:adjustRightInd w:val="0"/>
              <w:jc w:val="center"/>
              <w:rPr>
                <w:sz w:val="24"/>
                <w:szCs w:val="24"/>
              </w:rPr>
            </w:pPr>
            <w:r w:rsidRPr="00265A63">
              <w:rPr>
                <w:sz w:val="24"/>
                <w:szCs w:val="24"/>
              </w:rPr>
              <w:t xml:space="preserve">Темп роста ФЗП </w:t>
            </w:r>
            <w:proofErr w:type="gramStart"/>
            <w:r w:rsidRPr="00265A63">
              <w:rPr>
                <w:sz w:val="24"/>
                <w:szCs w:val="24"/>
              </w:rPr>
              <w:t>в</w:t>
            </w:r>
            <w:proofErr w:type="gramEnd"/>
            <w:r w:rsidRPr="00265A63">
              <w:rPr>
                <w:sz w:val="24"/>
                <w:szCs w:val="24"/>
              </w:rPr>
              <w:t xml:space="preserve"> % </w:t>
            </w:r>
            <w:proofErr w:type="gramStart"/>
            <w:r w:rsidRPr="00265A63">
              <w:rPr>
                <w:sz w:val="24"/>
                <w:szCs w:val="24"/>
              </w:rPr>
              <w:t>к</w:t>
            </w:r>
            <w:proofErr w:type="gramEnd"/>
            <w:r w:rsidRPr="00265A63">
              <w:rPr>
                <w:sz w:val="24"/>
                <w:szCs w:val="24"/>
              </w:rPr>
              <w:t xml:space="preserve"> предыдущему году</w:t>
            </w:r>
          </w:p>
        </w:tc>
      </w:tr>
      <w:tr w:rsidR="00265A63" w:rsidRPr="00966AE1" w:rsidTr="00265A63">
        <w:tc>
          <w:tcPr>
            <w:tcW w:w="1271" w:type="dxa"/>
            <w:shd w:val="clear" w:color="auto" w:fill="auto"/>
            <w:vAlign w:val="center"/>
          </w:tcPr>
          <w:p w:rsidR="00265A63" w:rsidRPr="00265A63" w:rsidRDefault="00265A63" w:rsidP="00265A63">
            <w:pPr>
              <w:jc w:val="center"/>
              <w:rPr>
                <w:sz w:val="24"/>
                <w:szCs w:val="24"/>
              </w:rPr>
            </w:pPr>
            <w:r w:rsidRPr="00265A63">
              <w:rPr>
                <w:sz w:val="24"/>
                <w:szCs w:val="24"/>
              </w:rPr>
              <w:t>113,8</w:t>
            </w:r>
          </w:p>
        </w:tc>
        <w:tc>
          <w:tcPr>
            <w:tcW w:w="1272" w:type="dxa"/>
            <w:shd w:val="clear" w:color="auto" w:fill="auto"/>
            <w:vAlign w:val="center"/>
          </w:tcPr>
          <w:p w:rsidR="00265A63" w:rsidRPr="00265A63" w:rsidRDefault="00265A63" w:rsidP="00265A63">
            <w:pPr>
              <w:jc w:val="center"/>
              <w:rPr>
                <w:sz w:val="24"/>
                <w:szCs w:val="24"/>
              </w:rPr>
            </w:pPr>
            <w:r w:rsidRPr="00265A63">
              <w:rPr>
                <w:sz w:val="24"/>
                <w:szCs w:val="24"/>
              </w:rPr>
              <w:t>109,5</w:t>
            </w:r>
          </w:p>
        </w:tc>
        <w:tc>
          <w:tcPr>
            <w:tcW w:w="1271" w:type="dxa"/>
            <w:shd w:val="clear" w:color="auto" w:fill="auto"/>
            <w:vAlign w:val="center"/>
          </w:tcPr>
          <w:p w:rsidR="00265A63" w:rsidRPr="00265A63" w:rsidRDefault="00265A63" w:rsidP="00265A63">
            <w:pPr>
              <w:jc w:val="center"/>
              <w:rPr>
                <w:sz w:val="24"/>
                <w:szCs w:val="24"/>
              </w:rPr>
            </w:pPr>
            <w:r w:rsidRPr="00265A63">
              <w:rPr>
                <w:sz w:val="24"/>
                <w:szCs w:val="24"/>
              </w:rPr>
              <w:t>109,4</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108,9</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108,7</w:t>
            </w:r>
          </w:p>
        </w:tc>
        <w:tc>
          <w:tcPr>
            <w:tcW w:w="1271"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107,0</w:t>
            </w:r>
          </w:p>
        </w:tc>
        <w:tc>
          <w:tcPr>
            <w:tcW w:w="1272" w:type="dxa"/>
            <w:shd w:val="clear" w:color="auto" w:fill="auto"/>
            <w:vAlign w:val="center"/>
          </w:tcPr>
          <w:p w:rsidR="00265A63" w:rsidRPr="00265A63" w:rsidRDefault="00354F1F" w:rsidP="00265A63">
            <w:pPr>
              <w:autoSpaceDE w:val="0"/>
              <w:autoSpaceDN w:val="0"/>
              <w:adjustRightInd w:val="0"/>
              <w:jc w:val="center"/>
              <w:rPr>
                <w:sz w:val="24"/>
                <w:szCs w:val="24"/>
              </w:rPr>
            </w:pPr>
            <w:r>
              <w:rPr>
                <w:sz w:val="24"/>
                <w:szCs w:val="24"/>
              </w:rPr>
              <w:t>107,0</w:t>
            </w:r>
          </w:p>
        </w:tc>
        <w:tc>
          <w:tcPr>
            <w:tcW w:w="1272" w:type="dxa"/>
            <w:vAlign w:val="center"/>
          </w:tcPr>
          <w:p w:rsidR="00265A63" w:rsidRPr="00265A63" w:rsidRDefault="00354F1F" w:rsidP="00354F1F">
            <w:pPr>
              <w:autoSpaceDE w:val="0"/>
              <w:autoSpaceDN w:val="0"/>
              <w:adjustRightInd w:val="0"/>
              <w:jc w:val="center"/>
              <w:rPr>
                <w:sz w:val="24"/>
                <w:szCs w:val="24"/>
              </w:rPr>
            </w:pPr>
            <w:r>
              <w:rPr>
                <w:sz w:val="24"/>
                <w:szCs w:val="24"/>
              </w:rPr>
              <w:t>107,0</w:t>
            </w:r>
          </w:p>
        </w:tc>
      </w:tr>
      <w:tr w:rsidR="009C5522" w:rsidRPr="00966AE1" w:rsidTr="00265A63">
        <w:tc>
          <w:tcPr>
            <w:tcW w:w="10173" w:type="dxa"/>
            <w:gridSpan w:val="8"/>
            <w:shd w:val="clear" w:color="auto" w:fill="auto"/>
            <w:vAlign w:val="center"/>
          </w:tcPr>
          <w:p w:rsidR="009C5522" w:rsidRPr="00265A63" w:rsidRDefault="009C5522" w:rsidP="00265A63">
            <w:pPr>
              <w:autoSpaceDE w:val="0"/>
              <w:autoSpaceDN w:val="0"/>
              <w:adjustRightInd w:val="0"/>
              <w:jc w:val="center"/>
              <w:rPr>
                <w:i/>
                <w:color w:val="0070C0"/>
                <w:sz w:val="24"/>
                <w:szCs w:val="24"/>
              </w:rPr>
            </w:pPr>
            <w:r w:rsidRPr="00265A63">
              <w:rPr>
                <w:i/>
                <w:sz w:val="24"/>
                <w:szCs w:val="24"/>
              </w:rPr>
              <w:t xml:space="preserve">Индекс потребительских цен, в среднем за год (базовый вариант прогноза), </w:t>
            </w:r>
            <w:proofErr w:type="gramStart"/>
            <w:r w:rsidRPr="00265A63">
              <w:rPr>
                <w:i/>
                <w:sz w:val="24"/>
                <w:szCs w:val="24"/>
              </w:rPr>
              <w:t>в</w:t>
            </w:r>
            <w:proofErr w:type="gramEnd"/>
            <w:r w:rsidRPr="00265A63">
              <w:rPr>
                <w:i/>
                <w:sz w:val="24"/>
                <w:szCs w:val="24"/>
              </w:rPr>
              <w:t xml:space="preserve"> %</w:t>
            </w:r>
          </w:p>
        </w:tc>
      </w:tr>
      <w:tr w:rsidR="009C5522" w:rsidRPr="00966AE1" w:rsidTr="00265A63">
        <w:trPr>
          <w:trHeight w:val="101"/>
        </w:trPr>
        <w:tc>
          <w:tcPr>
            <w:tcW w:w="1271"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102,3</w:t>
            </w:r>
          </w:p>
        </w:tc>
        <w:tc>
          <w:tcPr>
            <w:tcW w:w="1272"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105,0</w:t>
            </w:r>
          </w:p>
        </w:tc>
        <w:tc>
          <w:tcPr>
            <w:tcW w:w="1271" w:type="dxa"/>
            <w:shd w:val="clear" w:color="auto" w:fill="DBE5F1" w:themeFill="accent1" w:themeFillTint="33"/>
            <w:vAlign w:val="center"/>
          </w:tcPr>
          <w:p w:rsidR="009C5522" w:rsidRPr="00265A63" w:rsidRDefault="00354F1F" w:rsidP="00265A63">
            <w:pPr>
              <w:autoSpaceDE w:val="0"/>
              <w:autoSpaceDN w:val="0"/>
              <w:adjustRightInd w:val="0"/>
              <w:jc w:val="center"/>
              <w:rPr>
                <w:b/>
                <w:i/>
                <w:sz w:val="24"/>
                <w:szCs w:val="24"/>
              </w:rPr>
            </w:pPr>
            <w:r>
              <w:rPr>
                <w:b/>
                <w:i/>
                <w:sz w:val="24"/>
                <w:szCs w:val="24"/>
              </w:rPr>
              <w:t>103,7</w:t>
            </w:r>
          </w:p>
        </w:tc>
        <w:tc>
          <w:tcPr>
            <w:tcW w:w="1272" w:type="dxa"/>
            <w:shd w:val="clear" w:color="auto" w:fill="DBE5F1" w:themeFill="accent1" w:themeFillTint="33"/>
            <w:vAlign w:val="center"/>
          </w:tcPr>
          <w:p w:rsidR="009C5522" w:rsidRPr="00265A63" w:rsidRDefault="00354F1F" w:rsidP="00354F1F">
            <w:pPr>
              <w:autoSpaceDE w:val="0"/>
              <w:autoSpaceDN w:val="0"/>
              <w:adjustRightInd w:val="0"/>
              <w:jc w:val="center"/>
              <w:rPr>
                <w:b/>
                <w:i/>
                <w:sz w:val="24"/>
                <w:szCs w:val="24"/>
              </w:rPr>
            </w:pPr>
            <w:r>
              <w:rPr>
                <w:b/>
                <w:i/>
                <w:sz w:val="24"/>
                <w:szCs w:val="24"/>
              </w:rPr>
              <w:t>104,0</w:t>
            </w:r>
          </w:p>
        </w:tc>
        <w:tc>
          <w:tcPr>
            <w:tcW w:w="1272" w:type="dxa"/>
            <w:shd w:val="clear" w:color="auto" w:fill="DBE5F1" w:themeFill="accent1" w:themeFillTint="33"/>
            <w:vAlign w:val="center"/>
          </w:tcPr>
          <w:p w:rsidR="009C5522" w:rsidRPr="00265A63" w:rsidRDefault="00354F1F" w:rsidP="00354F1F">
            <w:pPr>
              <w:autoSpaceDE w:val="0"/>
              <w:autoSpaceDN w:val="0"/>
              <w:adjustRightInd w:val="0"/>
              <w:jc w:val="center"/>
              <w:rPr>
                <w:b/>
                <w:i/>
                <w:sz w:val="24"/>
                <w:szCs w:val="24"/>
              </w:rPr>
            </w:pPr>
            <w:r>
              <w:rPr>
                <w:b/>
                <w:i/>
                <w:sz w:val="24"/>
                <w:szCs w:val="24"/>
              </w:rPr>
              <w:t>104,0</w:t>
            </w:r>
          </w:p>
        </w:tc>
        <w:tc>
          <w:tcPr>
            <w:tcW w:w="1271" w:type="dxa"/>
            <w:shd w:val="clear" w:color="auto" w:fill="DBE5F1" w:themeFill="accent1" w:themeFillTint="33"/>
            <w:vAlign w:val="center"/>
          </w:tcPr>
          <w:p w:rsidR="009C5522" w:rsidRPr="00265A63" w:rsidRDefault="009C5522" w:rsidP="00354F1F">
            <w:pPr>
              <w:autoSpaceDE w:val="0"/>
              <w:autoSpaceDN w:val="0"/>
              <w:adjustRightInd w:val="0"/>
              <w:jc w:val="center"/>
              <w:rPr>
                <w:b/>
                <w:i/>
                <w:sz w:val="24"/>
                <w:szCs w:val="24"/>
              </w:rPr>
            </w:pPr>
            <w:r w:rsidRPr="00265A63">
              <w:rPr>
                <w:b/>
                <w:i/>
                <w:sz w:val="24"/>
                <w:szCs w:val="24"/>
              </w:rPr>
              <w:t>10</w:t>
            </w:r>
            <w:r w:rsidR="00354F1F">
              <w:rPr>
                <w:b/>
                <w:i/>
                <w:sz w:val="24"/>
                <w:szCs w:val="24"/>
              </w:rPr>
              <w:t>4,0</w:t>
            </w:r>
          </w:p>
        </w:tc>
        <w:tc>
          <w:tcPr>
            <w:tcW w:w="1272" w:type="dxa"/>
            <w:shd w:val="clear" w:color="auto" w:fill="DBE5F1" w:themeFill="accent1" w:themeFillTint="33"/>
            <w:vAlign w:val="center"/>
          </w:tcPr>
          <w:p w:rsidR="009C5522" w:rsidRPr="00265A63" w:rsidRDefault="009C5522" w:rsidP="00265A63">
            <w:pPr>
              <w:autoSpaceDE w:val="0"/>
              <w:autoSpaceDN w:val="0"/>
              <w:adjustRightInd w:val="0"/>
              <w:jc w:val="center"/>
              <w:rPr>
                <w:b/>
                <w:i/>
                <w:sz w:val="24"/>
                <w:szCs w:val="24"/>
              </w:rPr>
            </w:pPr>
            <w:r w:rsidRPr="00265A63">
              <w:rPr>
                <w:b/>
                <w:i/>
                <w:sz w:val="24"/>
                <w:szCs w:val="24"/>
              </w:rPr>
              <w:t>104,0</w:t>
            </w:r>
          </w:p>
        </w:tc>
        <w:tc>
          <w:tcPr>
            <w:tcW w:w="1272" w:type="dxa"/>
            <w:shd w:val="clear" w:color="auto" w:fill="DBE5F1" w:themeFill="accent1" w:themeFillTint="33"/>
            <w:vAlign w:val="center"/>
          </w:tcPr>
          <w:p w:rsidR="009C5522" w:rsidRPr="00265A63" w:rsidRDefault="009C5522" w:rsidP="00265A63">
            <w:pPr>
              <w:autoSpaceDE w:val="0"/>
              <w:autoSpaceDN w:val="0"/>
              <w:adjustRightInd w:val="0"/>
              <w:jc w:val="center"/>
              <w:rPr>
                <w:b/>
                <w:i/>
                <w:sz w:val="24"/>
                <w:szCs w:val="24"/>
              </w:rPr>
            </w:pPr>
            <w:r w:rsidRPr="00265A63">
              <w:rPr>
                <w:b/>
                <w:i/>
                <w:sz w:val="24"/>
                <w:szCs w:val="24"/>
              </w:rPr>
              <w:t>104,0</w:t>
            </w:r>
          </w:p>
        </w:tc>
      </w:tr>
    </w:tbl>
    <w:p w:rsidR="009C5522" w:rsidRPr="001473E3" w:rsidRDefault="009C5522" w:rsidP="009C5522">
      <w:pPr>
        <w:widowControl w:val="0"/>
        <w:spacing w:line="288" w:lineRule="auto"/>
        <w:ind w:firstLine="709"/>
        <w:jc w:val="both"/>
        <w:rPr>
          <w:sz w:val="24"/>
          <w:szCs w:val="24"/>
        </w:rPr>
      </w:pPr>
      <w:r w:rsidRPr="001473E3">
        <w:rPr>
          <w:sz w:val="24"/>
          <w:szCs w:val="24"/>
        </w:rPr>
        <w:lastRenderedPageBreak/>
        <w:t xml:space="preserve">Данные таблицы свидетельствуют, что прогнозируемый рост ФЗП опережает среднегодовой уровень инфляции. </w:t>
      </w:r>
    </w:p>
    <w:p w:rsidR="00DE1EBD" w:rsidRPr="001473E3" w:rsidRDefault="00DE1EBD" w:rsidP="00DE1EBD">
      <w:pPr>
        <w:widowControl w:val="0"/>
        <w:spacing w:line="192" w:lineRule="auto"/>
        <w:jc w:val="both"/>
        <w:rPr>
          <w:b/>
          <w:sz w:val="24"/>
          <w:szCs w:val="24"/>
        </w:rPr>
      </w:pPr>
    </w:p>
    <w:p w:rsidR="001A0DE1" w:rsidRPr="001473E3" w:rsidRDefault="001A0DE1" w:rsidP="00DE1EBD">
      <w:pPr>
        <w:widowControl w:val="0"/>
        <w:spacing w:line="192" w:lineRule="auto"/>
        <w:jc w:val="both"/>
        <w:rPr>
          <w:b/>
          <w:sz w:val="24"/>
          <w:szCs w:val="24"/>
        </w:rPr>
      </w:pPr>
      <w:r w:rsidRPr="001473E3">
        <w:rPr>
          <w:b/>
          <w:sz w:val="24"/>
          <w:szCs w:val="24"/>
        </w:rPr>
        <w:t xml:space="preserve">4. Численность </w:t>
      </w:r>
      <w:proofErr w:type="gramStart"/>
      <w:r w:rsidRPr="001473E3">
        <w:rPr>
          <w:b/>
          <w:sz w:val="24"/>
          <w:szCs w:val="24"/>
        </w:rPr>
        <w:t>занятых</w:t>
      </w:r>
      <w:proofErr w:type="gramEnd"/>
      <w:r w:rsidRPr="001473E3">
        <w:rPr>
          <w:b/>
          <w:sz w:val="24"/>
          <w:szCs w:val="24"/>
        </w:rPr>
        <w:t xml:space="preserve"> в экономике города</w:t>
      </w:r>
    </w:p>
    <w:p w:rsidR="00C11B36" w:rsidRPr="001473E3" w:rsidRDefault="00C11B36" w:rsidP="00DE1EBD">
      <w:pPr>
        <w:widowControl w:val="0"/>
        <w:spacing w:line="192" w:lineRule="auto"/>
        <w:jc w:val="both"/>
        <w:rPr>
          <w:sz w:val="24"/>
          <w:szCs w:val="24"/>
        </w:rPr>
      </w:pPr>
    </w:p>
    <w:p w:rsidR="009C5522" w:rsidRPr="0019035E" w:rsidRDefault="001473E3" w:rsidP="009C5522">
      <w:pPr>
        <w:widowControl w:val="0"/>
        <w:spacing w:line="288" w:lineRule="auto"/>
        <w:ind w:firstLine="710"/>
        <w:jc w:val="both"/>
        <w:rPr>
          <w:sz w:val="24"/>
          <w:szCs w:val="24"/>
        </w:rPr>
      </w:pPr>
      <w:r>
        <w:rPr>
          <w:sz w:val="24"/>
          <w:szCs w:val="24"/>
        </w:rPr>
        <w:t xml:space="preserve">По итогам 2018 года </w:t>
      </w:r>
      <w:r w:rsidR="009C5522" w:rsidRPr="001473E3">
        <w:rPr>
          <w:sz w:val="24"/>
          <w:szCs w:val="24"/>
        </w:rPr>
        <w:t xml:space="preserve">среднесписочная численность работников крупных и средних организаций </w:t>
      </w:r>
      <w:r w:rsidR="009C5522" w:rsidRPr="00966AE1">
        <w:rPr>
          <w:sz w:val="24"/>
          <w:szCs w:val="24"/>
        </w:rPr>
        <w:t xml:space="preserve">города </w:t>
      </w:r>
      <w:r w:rsidR="009C5522" w:rsidRPr="0019035E">
        <w:rPr>
          <w:sz w:val="24"/>
          <w:szCs w:val="24"/>
        </w:rPr>
        <w:t>Твери увеличилась на 2,8% до 109,7 тыс. человек и состав</w:t>
      </w:r>
      <w:r w:rsidR="003D1A6E">
        <w:rPr>
          <w:sz w:val="24"/>
          <w:szCs w:val="24"/>
        </w:rPr>
        <w:t>ила</w:t>
      </w:r>
      <w:r w:rsidR="009C5522" w:rsidRPr="0019035E">
        <w:rPr>
          <w:sz w:val="24"/>
          <w:szCs w:val="24"/>
        </w:rPr>
        <w:t xml:space="preserve"> 41% в численности работников организаций крупного и среднего бизнеса Тверской области. </w:t>
      </w:r>
    </w:p>
    <w:p w:rsidR="009C5522" w:rsidRDefault="001473E3" w:rsidP="009C5522">
      <w:pPr>
        <w:spacing w:line="288" w:lineRule="auto"/>
        <w:ind w:firstLine="709"/>
        <w:jc w:val="both"/>
        <w:rPr>
          <w:rFonts w:eastAsia="Calibri"/>
          <w:sz w:val="24"/>
          <w:szCs w:val="28"/>
        </w:rPr>
      </w:pPr>
      <w:r>
        <w:rPr>
          <w:rFonts w:eastAsia="Calibri"/>
          <w:sz w:val="24"/>
          <w:szCs w:val="26"/>
        </w:rPr>
        <w:t xml:space="preserve">Тенденция роста численности продолжилась в </w:t>
      </w:r>
      <w:r w:rsidR="009C5522" w:rsidRPr="0019035E">
        <w:rPr>
          <w:rFonts w:eastAsia="Calibri"/>
          <w:sz w:val="24"/>
          <w:szCs w:val="26"/>
        </w:rPr>
        <w:t>2019 год</w:t>
      </w:r>
      <w:r w:rsidR="00B60ACB">
        <w:rPr>
          <w:rFonts w:eastAsia="Calibri"/>
          <w:sz w:val="24"/>
          <w:szCs w:val="26"/>
        </w:rPr>
        <w:t>у. П</w:t>
      </w:r>
      <w:r>
        <w:rPr>
          <w:rFonts w:eastAsia="Calibri"/>
          <w:sz w:val="24"/>
          <w:szCs w:val="26"/>
        </w:rPr>
        <w:t xml:space="preserve">о сравнению с прошлогодним периодом </w:t>
      </w:r>
      <w:r w:rsidR="00B60ACB">
        <w:rPr>
          <w:rFonts w:eastAsia="Calibri"/>
          <w:sz w:val="24"/>
          <w:szCs w:val="26"/>
        </w:rPr>
        <w:t xml:space="preserve">за 7 месяцев 2019 года </w:t>
      </w:r>
      <w:r>
        <w:rPr>
          <w:rFonts w:eastAsia="Calibri"/>
          <w:sz w:val="24"/>
          <w:szCs w:val="26"/>
        </w:rPr>
        <w:t xml:space="preserve">она повысилась </w:t>
      </w:r>
      <w:r w:rsidR="009C5522" w:rsidRPr="0031087A">
        <w:rPr>
          <w:rFonts w:eastAsia="Calibri"/>
          <w:sz w:val="24"/>
          <w:szCs w:val="26"/>
        </w:rPr>
        <w:t>1</w:t>
      </w:r>
      <w:r w:rsidR="009C5522" w:rsidRPr="0031087A">
        <w:rPr>
          <w:rFonts w:eastAsia="Calibri"/>
          <w:sz w:val="24"/>
          <w:szCs w:val="28"/>
        </w:rPr>
        <w:t>,6%</w:t>
      </w:r>
      <w:r w:rsidR="009C5522" w:rsidRPr="0019035E">
        <w:rPr>
          <w:rFonts w:eastAsia="Calibri"/>
          <w:sz w:val="24"/>
          <w:szCs w:val="28"/>
        </w:rPr>
        <w:t xml:space="preserve"> и составила </w:t>
      </w:r>
      <w:r w:rsidR="009C5522" w:rsidRPr="0031087A">
        <w:rPr>
          <w:rFonts w:eastAsia="Calibri"/>
          <w:sz w:val="24"/>
          <w:szCs w:val="28"/>
        </w:rPr>
        <w:t>110,</w:t>
      </w:r>
      <w:r w:rsidR="00B60ACB">
        <w:rPr>
          <w:rFonts w:eastAsia="Calibri"/>
          <w:sz w:val="24"/>
          <w:szCs w:val="28"/>
        </w:rPr>
        <w:t>5</w:t>
      </w:r>
      <w:r w:rsidR="009C5522" w:rsidRPr="0031087A">
        <w:rPr>
          <w:rFonts w:eastAsia="Calibri"/>
          <w:sz w:val="24"/>
          <w:szCs w:val="28"/>
        </w:rPr>
        <w:t xml:space="preserve"> тыс. работников. Максимальный прирост численности обеспеч</w:t>
      </w:r>
      <w:r w:rsidR="00E13A57">
        <w:rPr>
          <w:rFonts w:eastAsia="Calibri"/>
          <w:sz w:val="24"/>
          <w:szCs w:val="28"/>
        </w:rPr>
        <w:t>ен</w:t>
      </w:r>
      <w:r w:rsidR="009C5522" w:rsidRPr="0031087A">
        <w:rPr>
          <w:rFonts w:eastAsia="Calibri"/>
          <w:sz w:val="24"/>
          <w:szCs w:val="28"/>
        </w:rPr>
        <w:t xml:space="preserve"> </w:t>
      </w:r>
      <w:r w:rsidR="00E13A57">
        <w:rPr>
          <w:rFonts w:eastAsia="Calibri"/>
          <w:sz w:val="24"/>
          <w:szCs w:val="28"/>
        </w:rPr>
        <w:t xml:space="preserve">предприятиями </w:t>
      </w:r>
      <w:r w:rsidR="009C5522" w:rsidRPr="0031087A">
        <w:rPr>
          <w:rFonts w:eastAsia="Calibri"/>
          <w:sz w:val="24"/>
          <w:szCs w:val="28"/>
        </w:rPr>
        <w:t>обрабатывающих производств, где количество занятых работников выросло на 5,</w:t>
      </w:r>
      <w:r w:rsidR="00B60ACB">
        <w:rPr>
          <w:rFonts w:eastAsia="Calibri"/>
          <w:sz w:val="24"/>
          <w:szCs w:val="28"/>
        </w:rPr>
        <w:t>5</w:t>
      </w:r>
      <w:r w:rsidR="009C5522" w:rsidRPr="0031087A">
        <w:rPr>
          <w:rFonts w:eastAsia="Calibri"/>
          <w:sz w:val="24"/>
          <w:szCs w:val="28"/>
        </w:rPr>
        <w:t>%</w:t>
      </w:r>
      <w:r w:rsidR="00B60ACB">
        <w:rPr>
          <w:rFonts w:eastAsia="Calibri"/>
          <w:sz w:val="24"/>
          <w:szCs w:val="28"/>
        </w:rPr>
        <w:t xml:space="preserve"> до 25,8 тыс. человек</w:t>
      </w:r>
      <w:r w:rsidR="009C5522" w:rsidRPr="0031087A">
        <w:rPr>
          <w:rFonts w:eastAsia="Calibri"/>
          <w:sz w:val="24"/>
          <w:szCs w:val="28"/>
        </w:rPr>
        <w:t xml:space="preserve">. </w:t>
      </w:r>
    </w:p>
    <w:p w:rsidR="005D1001" w:rsidRPr="0026695A" w:rsidRDefault="005D1001" w:rsidP="005D1001">
      <w:pPr>
        <w:spacing w:line="288" w:lineRule="auto"/>
        <w:ind w:firstLine="709"/>
        <w:jc w:val="both"/>
        <w:rPr>
          <w:rFonts w:eastAsia="Calibri"/>
          <w:b/>
          <w:sz w:val="24"/>
          <w:szCs w:val="28"/>
        </w:rPr>
      </w:pPr>
      <w:r w:rsidRPr="005E1809">
        <w:rPr>
          <w:rFonts w:ascii="Arial" w:hAnsi="Arial" w:cs="Arial"/>
          <w:noProof/>
          <w:sz w:val="2"/>
          <w:szCs w:val="2"/>
        </w:rPr>
        <w:drawing>
          <wp:anchor distT="0" distB="0" distL="114300" distR="114300" simplePos="0" relativeHeight="251723776" behindDoc="0" locked="0" layoutInCell="1" allowOverlap="1" wp14:anchorId="472B0DD5" wp14:editId="59BE82B6">
            <wp:simplePos x="0" y="0"/>
            <wp:positionH relativeFrom="column">
              <wp:posOffset>328930</wp:posOffset>
            </wp:positionH>
            <wp:positionV relativeFrom="paragraph">
              <wp:posOffset>-49530</wp:posOffset>
            </wp:positionV>
            <wp:extent cx="323850" cy="263525"/>
            <wp:effectExtent l="0" t="0" r="0" b="3175"/>
            <wp:wrapNone/>
            <wp:docPr id="29" name="Рисунок 29"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1809">
        <w:rPr>
          <w:rFonts w:eastAsia="Calibri"/>
          <w:i/>
          <w:noProof/>
          <w:sz w:val="22"/>
          <w:szCs w:val="2"/>
        </w:rPr>
        <w:t xml:space="preserve">    </w:t>
      </w:r>
      <w:r w:rsidR="00B8016D">
        <w:rPr>
          <w:rFonts w:eastAsia="Calibri"/>
          <w:i/>
          <w:noProof/>
          <w:sz w:val="22"/>
          <w:szCs w:val="2"/>
        </w:rPr>
        <w:t xml:space="preserve"> </w:t>
      </w:r>
      <w:r w:rsidRPr="005E1809">
        <w:rPr>
          <w:rFonts w:eastAsia="Calibri"/>
          <w:sz w:val="22"/>
          <w:szCs w:val="28"/>
        </w:rPr>
        <w:t xml:space="preserve"> </w:t>
      </w:r>
      <w:r w:rsidR="005E1809" w:rsidRPr="005E1809">
        <w:rPr>
          <w:rFonts w:eastAsia="Calibri"/>
          <w:sz w:val="22"/>
          <w:szCs w:val="28"/>
        </w:rPr>
        <w:t>Г</w:t>
      </w:r>
      <w:r w:rsidRPr="005E1809">
        <w:rPr>
          <w:rFonts w:eastAsia="Calibri"/>
          <w:sz w:val="24"/>
          <w:szCs w:val="24"/>
        </w:rPr>
        <w:t xml:space="preserve">ород </w:t>
      </w:r>
      <w:r w:rsidRPr="0026695A">
        <w:rPr>
          <w:rFonts w:eastAsia="Calibri"/>
          <w:sz w:val="24"/>
          <w:szCs w:val="24"/>
        </w:rPr>
        <w:t>Твер</w:t>
      </w:r>
      <w:r w:rsidR="00B8016D">
        <w:rPr>
          <w:rFonts w:eastAsia="Calibri"/>
          <w:sz w:val="24"/>
          <w:szCs w:val="24"/>
        </w:rPr>
        <w:t>ь</w:t>
      </w:r>
      <w:r w:rsidR="0026695A" w:rsidRPr="0026695A">
        <w:rPr>
          <w:rFonts w:eastAsia="Calibri"/>
          <w:sz w:val="24"/>
          <w:szCs w:val="24"/>
        </w:rPr>
        <w:t xml:space="preserve"> </w:t>
      </w:r>
      <w:r w:rsidR="005E1809">
        <w:rPr>
          <w:rFonts w:eastAsia="Calibri"/>
          <w:sz w:val="24"/>
          <w:szCs w:val="24"/>
        </w:rPr>
        <w:t xml:space="preserve">занимает </w:t>
      </w:r>
      <w:r w:rsidR="005E1809" w:rsidRPr="005E1809">
        <w:rPr>
          <w:rFonts w:eastAsia="Calibri"/>
          <w:b/>
          <w:i/>
          <w:sz w:val="24"/>
          <w:szCs w:val="24"/>
        </w:rPr>
        <w:t>3 место</w:t>
      </w:r>
      <w:r w:rsidR="005E1809">
        <w:rPr>
          <w:rFonts w:eastAsia="Calibri"/>
          <w:sz w:val="24"/>
          <w:szCs w:val="24"/>
        </w:rPr>
        <w:t xml:space="preserve"> в рейтинге </w:t>
      </w:r>
      <w:r w:rsidRPr="0026695A">
        <w:rPr>
          <w:rFonts w:eastAsia="Calibri"/>
          <w:sz w:val="24"/>
          <w:szCs w:val="24"/>
        </w:rPr>
        <w:t>16-</w:t>
      </w:r>
      <w:r w:rsidRPr="0026695A">
        <w:rPr>
          <w:rFonts w:eastAsia="Calibri"/>
          <w:i/>
          <w:sz w:val="24"/>
          <w:szCs w:val="24"/>
        </w:rPr>
        <w:t>ти</w:t>
      </w:r>
      <w:r w:rsidRPr="0026695A">
        <w:rPr>
          <w:rFonts w:eastAsia="Calibri"/>
          <w:sz w:val="24"/>
          <w:szCs w:val="24"/>
        </w:rPr>
        <w:t xml:space="preserve"> областных центров ЦФО по наиболее</w:t>
      </w:r>
      <w:r w:rsidRPr="0026695A">
        <w:rPr>
          <w:rFonts w:eastAsia="Calibri"/>
          <w:sz w:val="24"/>
          <w:szCs w:val="24"/>
        </w:rPr>
        <w:br/>
        <w:t xml:space="preserve">                  высокому темпу</w:t>
      </w:r>
      <w:r w:rsidRPr="0026695A">
        <w:rPr>
          <w:rFonts w:eastAsia="Calibri"/>
          <w:sz w:val="24"/>
          <w:szCs w:val="28"/>
        </w:rPr>
        <w:t xml:space="preserve"> </w:t>
      </w:r>
      <w:r w:rsidRPr="00AC4C12">
        <w:rPr>
          <w:rFonts w:eastAsia="Calibri"/>
          <w:sz w:val="24"/>
          <w:szCs w:val="28"/>
        </w:rPr>
        <w:t>роста среднесписочной численности работников крупных и средних</w:t>
      </w:r>
      <w:r>
        <w:rPr>
          <w:rFonts w:eastAsia="Calibri"/>
          <w:sz w:val="24"/>
          <w:szCs w:val="28"/>
        </w:rPr>
        <w:br/>
        <w:t xml:space="preserve">                 </w:t>
      </w:r>
      <w:r w:rsidRPr="00AC4C12">
        <w:rPr>
          <w:rFonts w:eastAsia="Calibri"/>
          <w:sz w:val="24"/>
          <w:szCs w:val="28"/>
        </w:rPr>
        <w:t xml:space="preserve"> организаций в 1 полугодии 2019 года</w:t>
      </w:r>
      <w:r w:rsidR="005E1809">
        <w:rPr>
          <w:rFonts w:eastAsia="Calibri"/>
          <w:sz w:val="24"/>
          <w:szCs w:val="28"/>
        </w:rPr>
        <w:t>.</w:t>
      </w:r>
      <w:r w:rsidRPr="0026695A">
        <w:rPr>
          <w:rFonts w:eastAsia="Calibri"/>
          <w:b/>
          <w:sz w:val="24"/>
          <w:szCs w:val="28"/>
        </w:rPr>
        <w:t xml:space="preserve"> </w:t>
      </w:r>
    </w:p>
    <w:p w:rsidR="005D1001" w:rsidRDefault="005D1001" w:rsidP="009C5522">
      <w:pPr>
        <w:widowControl w:val="0"/>
        <w:spacing w:line="288" w:lineRule="auto"/>
        <w:ind w:firstLine="710"/>
        <w:jc w:val="both"/>
        <w:rPr>
          <w:sz w:val="24"/>
          <w:szCs w:val="24"/>
        </w:rPr>
      </w:pPr>
      <w:proofErr w:type="gramStart"/>
      <w:r>
        <w:rPr>
          <w:sz w:val="24"/>
          <w:szCs w:val="24"/>
        </w:rPr>
        <w:t xml:space="preserve">По </w:t>
      </w:r>
      <w:r w:rsidR="009C5522" w:rsidRPr="00966AE1">
        <w:rPr>
          <w:sz w:val="24"/>
          <w:szCs w:val="24"/>
        </w:rPr>
        <w:t>сведениям</w:t>
      </w:r>
      <w:r>
        <w:rPr>
          <w:sz w:val="24"/>
          <w:szCs w:val="24"/>
        </w:rPr>
        <w:t xml:space="preserve"> </w:t>
      </w:r>
      <w:r w:rsidR="009C5522" w:rsidRPr="00966AE1">
        <w:rPr>
          <w:sz w:val="24"/>
          <w:szCs w:val="24"/>
        </w:rPr>
        <w:t>хозяйствующи</w:t>
      </w:r>
      <w:r>
        <w:rPr>
          <w:sz w:val="24"/>
          <w:szCs w:val="24"/>
        </w:rPr>
        <w:t>х</w:t>
      </w:r>
      <w:r w:rsidR="009C5522" w:rsidRPr="00966AE1">
        <w:rPr>
          <w:sz w:val="24"/>
          <w:szCs w:val="24"/>
        </w:rPr>
        <w:t xml:space="preserve"> субъект</w:t>
      </w:r>
      <w:r>
        <w:rPr>
          <w:sz w:val="24"/>
          <w:szCs w:val="24"/>
        </w:rPr>
        <w:t>ов</w:t>
      </w:r>
      <w:r w:rsidR="009C5522" w:rsidRPr="00966AE1">
        <w:rPr>
          <w:sz w:val="24"/>
          <w:szCs w:val="24"/>
        </w:rPr>
        <w:t xml:space="preserve"> города Твери</w:t>
      </w:r>
      <w:r>
        <w:rPr>
          <w:sz w:val="24"/>
          <w:szCs w:val="24"/>
        </w:rPr>
        <w:t>, представленным</w:t>
      </w:r>
      <w:r w:rsidR="009C5522" w:rsidRPr="00966AE1">
        <w:rPr>
          <w:sz w:val="24"/>
          <w:szCs w:val="24"/>
        </w:rPr>
        <w:t xml:space="preserve"> для разработки прогноза, в рамках основной деятельности в 2018 году введено 2,4 тыс. новых рабочих мест </w:t>
      </w:r>
      <w:r>
        <w:rPr>
          <w:sz w:val="24"/>
          <w:szCs w:val="24"/>
        </w:rPr>
        <w:br/>
      </w:r>
      <w:r w:rsidR="009C5522" w:rsidRPr="00966AE1">
        <w:rPr>
          <w:sz w:val="24"/>
          <w:szCs w:val="24"/>
        </w:rPr>
        <w:t>(ОАО «Тверской вагоностроительный завод», ЗАО «</w:t>
      </w:r>
      <w:proofErr w:type="spellStart"/>
      <w:r w:rsidR="009C5522" w:rsidRPr="00966AE1">
        <w:rPr>
          <w:sz w:val="24"/>
          <w:szCs w:val="24"/>
        </w:rPr>
        <w:t>Вагонкомплект</w:t>
      </w:r>
      <w:proofErr w:type="spellEnd"/>
      <w:r w:rsidR="009C5522" w:rsidRPr="00966AE1">
        <w:rPr>
          <w:sz w:val="24"/>
          <w:szCs w:val="24"/>
        </w:rPr>
        <w:t xml:space="preserve">», ЗАО «Тверской экскаватор», АО «Диэлектрические кабельные системы», ООО «ДКС-Развитие», ООО «Система 5», </w:t>
      </w:r>
      <w:r>
        <w:rPr>
          <w:sz w:val="24"/>
          <w:szCs w:val="24"/>
        </w:rPr>
        <w:br/>
      </w:r>
      <w:r w:rsidR="009C5522" w:rsidRPr="00966AE1">
        <w:rPr>
          <w:sz w:val="24"/>
          <w:szCs w:val="24"/>
        </w:rPr>
        <w:t>ОАО «Московско-Тверская пригородная пассажирская компания»,</w:t>
      </w:r>
      <w:r w:rsidR="009C5522">
        <w:rPr>
          <w:sz w:val="24"/>
          <w:szCs w:val="24"/>
        </w:rPr>
        <w:t xml:space="preserve"> </w:t>
      </w:r>
      <w:r w:rsidR="009C5522" w:rsidRPr="00966AE1">
        <w:rPr>
          <w:sz w:val="24"/>
          <w:szCs w:val="24"/>
        </w:rPr>
        <w:t>АО «Газпром газораспределение Тверь»,  ООО «Тверь Водоканал» и др.).</w:t>
      </w:r>
      <w:proofErr w:type="gramEnd"/>
      <w:r w:rsidR="009C5522" w:rsidRPr="00966AE1">
        <w:rPr>
          <w:sz w:val="24"/>
          <w:szCs w:val="24"/>
        </w:rPr>
        <w:t xml:space="preserve"> В</w:t>
      </w:r>
      <w:r>
        <w:rPr>
          <w:sz w:val="24"/>
          <w:szCs w:val="24"/>
        </w:rPr>
        <w:t xml:space="preserve"> </w:t>
      </w:r>
      <w:r w:rsidR="009C5522" w:rsidRPr="00966AE1">
        <w:rPr>
          <w:sz w:val="24"/>
          <w:szCs w:val="24"/>
        </w:rPr>
        <w:t xml:space="preserve">2019 году планируется создать еще 2,9 тыс. новых рабочих мест. </w:t>
      </w:r>
    </w:p>
    <w:p w:rsidR="009C5522" w:rsidRPr="00966AE1" w:rsidRDefault="009C5522" w:rsidP="009C5522">
      <w:pPr>
        <w:widowControl w:val="0"/>
        <w:spacing w:line="288" w:lineRule="auto"/>
        <w:ind w:firstLine="710"/>
        <w:jc w:val="both"/>
        <w:rPr>
          <w:sz w:val="24"/>
          <w:szCs w:val="28"/>
        </w:rPr>
      </w:pPr>
      <w:r w:rsidRPr="00966AE1">
        <w:rPr>
          <w:sz w:val="24"/>
          <w:szCs w:val="28"/>
        </w:rPr>
        <w:t xml:space="preserve">В результате </w:t>
      </w:r>
      <w:r w:rsidR="000D794F">
        <w:rPr>
          <w:sz w:val="24"/>
          <w:szCs w:val="28"/>
        </w:rPr>
        <w:t>–</w:t>
      </w:r>
      <w:r w:rsidR="003D1A6E">
        <w:rPr>
          <w:sz w:val="24"/>
          <w:szCs w:val="28"/>
        </w:rPr>
        <w:t xml:space="preserve"> </w:t>
      </w:r>
      <w:r w:rsidRPr="00966AE1">
        <w:rPr>
          <w:sz w:val="24"/>
          <w:szCs w:val="28"/>
        </w:rPr>
        <w:t xml:space="preserve">на дополнительно созданные рабочие места крупных и средних организаций города Твери в 2018 году </w:t>
      </w:r>
      <w:r w:rsidR="003D1A6E">
        <w:rPr>
          <w:sz w:val="24"/>
          <w:szCs w:val="28"/>
        </w:rPr>
        <w:t>принято</w:t>
      </w:r>
      <w:r w:rsidR="003D1A6E" w:rsidRPr="003D1A6E">
        <w:rPr>
          <w:sz w:val="24"/>
          <w:szCs w:val="28"/>
        </w:rPr>
        <w:t xml:space="preserve"> </w:t>
      </w:r>
      <w:r w:rsidR="003D1A6E">
        <w:rPr>
          <w:sz w:val="24"/>
          <w:szCs w:val="28"/>
        </w:rPr>
        <w:t xml:space="preserve">работников списочного состава </w:t>
      </w:r>
      <w:r w:rsidR="000D794F">
        <w:rPr>
          <w:sz w:val="24"/>
          <w:szCs w:val="28"/>
        </w:rPr>
        <w:t xml:space="preserve">более 1,3 </w:t>
      </w:r>
      <w:r w:rsidRPr="00966AE1">
        <w:rPr>
          <w:sz w:val="24"/>
          <w:szCs w:val="28"/>
        </w:rPr>
        <w:t xml:space="preserve">тыс. работников, </w:t>
      </w:r>
      <w:r w:rsidR="003D1A6E">
        <w:rPr>
          <w:sz w:val="24"/>
          <w:szCs w:val="28"/>
        </w:rPr>
        <w:br/>
      </w:r>
      <w:r w:rsidRPr="00966AE1">
        <w:rPr>
          <w:sz w:val="24"/>
          <w:szCs w:val="28"/>
        </w:rPr>
        <w:t xml:space="preserve">в </w:t>
      </w:r>
      <w:r w:rsidRPr="00966AE1">
        <w:rPr>
          <w:sz w:val="24"/>
          <w:szCs w:val="28"/>
          <w:lang w:val="en-US"/>
        </w:rPr>
        <w:t>I</w:t>
      </w:r>
      <w:r w:rsidRPr="00966AE1">
        <w:rPr>
          <w:sz w:val="24"/>
          <w:szCs w:val="28"/>
        </w:rPr>
        <w:t xml:space="preserve"> полугодии 2019 года – </w:t>
      </w:r>
      <w:r w:rsidR="000D794F">
        <w:rPr>
          <w:sz w:val="24"/>
          <w:szCs w:val="28"/>
        </w:rPr>
        <w:t>0,73 тыс.</w:t>
      </w:r>
      <w:r w:rsidRPr="00966AE1">
        <w:rPr>
          <w:sz w:val="24"/>
          <w:szCs w:val="28"/>
        </w:rPr>
        <w:t xml:space="preserve"> работников.</w:t>
      </w:r>
    </w:p>
    <w:p w:rsidR="0026695A" w:rsidRDefault="009C5522" w:rsidP="009C5522">
      <w:pPr>
        <w:autoSpaceDE w:val="0"/>
        <w:autoSpaceDN w:val="0"/>
        <w:adjustRightInd w:val="0"/>
        <w:spacing w:line="288" w:lineRule="auto"/>
        <w:ind w:firstLine="709"/>
        <w:jc w:val="both"/>
        <w:rPr>
          <w:sz w:val="24"/>
          <w:szCs w:val="24"/>
        </w:rPr>
      </w:pPr>
      <w:r w:rsidRPr="00966AE1">
        <w:rPr>
          <w:sz w:val="24"/>
          <w:szCs w:val="24"/>
        </w:rPr>
        <w:t xml:space="preserve">В </w:t>
      </w:r>
      <w:r w:rsidR="000D794F">
        <w:rPr>
          <w:sz w:val="24"/>
          <w:szCs w:val="24"/>
        </w:rPr>
        <w:t>прогнозируемый период х</w:t>
      </w:r>
      <w:r w:rsidRPr="00966AE1">
        <w:rPr>
          <w:sz w:val="24"/>
          <w:szCs w:val="24"/>
        </w:rPr>
        <w:t xml:space="preserve">озяйствующие субъекты города Твери намерены ввести </w:t>
      </w:r>
      <w:r w:rsidR="000D794F">
        <w:rPr>
          <w:sz w:val="24"/>
          <w:szCs w:val="24"/>
        </w:rPr>
        <w:t xml:space="preserve">свыше </w:t>
      </w:r>
      <w:r w:rsidRPr="00966AE1">
        <w:rPr>
          <w:sz w:val="24"/>
          <w:szCs w:val="24"/>
        </w:rPr>
        <w:t>1,</w:t>
      </w:r>
      <w:r w:rsidR="000D794F">
        <w:rPr>
          <w:sz w:val="24"/>
          <w:szCs w:val="24"/>
        </w:rPr>
        <w:t>3</w:t>
      </w:r>
      <w:r w:rsidRPr="00966AE1">
        <w:rPr>
          <w:sz w:val="24"/>
          <w:szCs w:val="24"/>
        </w:rPr>
        <w:t xml:space="preserve"> тыс. новых ра</w:t>
      </w:r>
      <w:r w:rsidRPr="00966AE1">
        <w:rPr>
          <w:sz w:val="22"/>
          <w:szCs w:val="24"/>
        </w:rPr>
        <w:t>б</w:t>
      </w:r>
      <w:r w:rsidRPr="00966AE1">
        <w:rPr>
          <w:sz w:val="24"/>
          <w:szCs w:val="24"/>
        </w:rPr>
        <w:t>очих мест, что будет способствовать закреплению высококвалифицированных кадров на предприятиях</w:t>
      </w:r>
      <w:r w:rsidR="000D794F">
        <w:rPr>
          <w:sz w:val="24"/>
          <w:szCs w:val="24"/>
        </w:rPr>
        <w:t xml:space="preserve"> и в организациях</w:t>
      </w:r>
      <w:r w:rsidRPr="00966AE1">
        <w:rPr>
          <w:sz w:val="24"/>
          <w:szCs w:val="24"/>
        </w:rPr>
        <w:t xml:space="preserve">. </w:t>
      </w:r>
    </w:p>
    <w:p w:rsidR="009C5522" w:rsidRPr="00966AE1" w:rsidRDefault="0026695A" w:rsidP="009C5522">
      <w:pPr>
        <w:autoSpaceDE w:val="0"/>
        <w:autoSpaceDN w:val="0"/>
        <w:adjustRightInd w:val="0"/>
        <w:spacing w:line="288" w:lineRule="auto"/>
        <w:ind w:firstLine="709"/>
        <w:jc w:val="both"/>
        <w:rPr>
          <w:sz w:val="24"/>
          <w:szCs w:val="24"/>
        </w:rPr>
      </w:pPr>
      <w:r>
        <w:rPr>
          <w:sz w:val="24"/>
          <w:szCs w:val="24"/>
        </w:rPr>
        <w:t xml:space="preserve">В условиях действия Пенсионной реформы, введенной с 1 января 2019 года, и на основании расчетов к долгосрочному </w:t>
      </w:r>
      <w:r w:rsidR="009C5522" w:rsidRPr="00966AE1">
        <w:rPr>
          <w:sz w:val="24"/>
          <w:szCs w:val="24"/>
        </w:rPr>
        <w:t xml:space="preserve">прогнозу, численность работников экономики </w:t>
      </w:r>
      <w:r>
        <w:rPr>
          <w:sz w:val="24"/>
          <w:szCs w:val="24"/>
        </w:rPr>
        <w:t xml:space="preserve">города Твери </w:t>
      </w:r>
      <w:r w:rsidR="009C5522" w:rsidRPr="00966AE1">
        <w:rPr>
          <w:sz w:val="24"/>
          <w:szCs w:val="24"/>
        </w:rPr>
        <w:t>в 202</w:t>
      </w:r>
      <w:r w:rsidR="000D794F">
        <w:rPr>
          <w:sz w:val="24"/>
          <w:szCs w:val="24"/>
        </w:rPr>
        <w:t>5</w:t>
      </w:r>
      <w:r w:rsidR="009C5522" w:rsidRPr="00966AE1">
        <w:rPr>
          <w:sz w:val="24"/>
          <w:szCs w:val="24"/>
        </w:rPr>
        <w:t xml:space="preserve"> году </w:t>
      </w:r>
      <w:r w:rsidR="000D794F">
        <w:rPr>
          <w:sz w:val="24"/>
          <w:szCs w:val="24"/>
        </w:rPr>
        <w:t xml:space="preserve">может увеличиться до 217,3 </w:t>
      </w:r>
      <w:r w:rsidR="009C5522" w:rsidRPr="00966AE1">
        <w:rPr>
          <w:sz w:val="24"/>
          <w:szCs w:val="24"/>
        </w:rPr>
        <w:t>тыс. человек</w:t>
      </w:r>
      <w:r>
        <w:rPr>
          <w:sz w:val="24"/>
          <w:szCs w:val="24"/>
        </w:rPr>
        <w:t xml:space="preserve"> или </w:t>
      </w:r>
      <w:r w:rsidR="009C5522" w:rsidRPr="00966AE1">
        <w:rPr>
          <w:sz w:val="24"/>
          <w:szCs w:val="24"/>
        </w:rPr>
        <w:t>на 1,</w:t>
      </w:r>
      <w:r w:rsidR="000D794F">
        <w:rPr>
          <w:sz w:val="24"/>
          <w:szCs w:val="24"/>
        </w:rPr>
        <w:t>5</w:t>
      </w:r>
      <w:r w:rsidR="009C5522" w:rsidRPr="00966AE1">
        <w:rPr>
          <w:sz w:val="24"/>
          <w:szCs w:val="24"/>
        </w:rPr>
        <w:t>%</w:t>
      </w:r>
      <w:r w:rsidR="000D794F">
        <w:rPr>
          <w:sz w:val="24"/>
          <w:szCs w:val="24"/>
        </w:rPr>
        <w:t xml:space="preserve"> </w:t>
      </w:r>
      <w:r>
        <w:rPr>
          <w:sz w:val="24"/>
          <w:szCs w:val="24"/>
        </w:rPr>
        <w:t xml:space="preserve">к уровню </w:t>
      </w:r>
      <w:r w:rsidR="009C5522" w:rsidRPr="00966AE1">
        <w:rPr>
          <w:sz w:val="24"/>
          <w:szCs w:val="24"/>
        </w:rPr>
        <w:t>2018 года.</w:t>
      </w:r>
    </w:p>
    <w:p w:rsidR="009C5522" w:rsidRPr="001A22EF" w:rsidRDefault="009C5522" w:rsidP="001A22EF">
      <w:pPr>
        <w:autoSpaceDE w:val="0"/>
        <w:autoSpaceDN w:val="0"/>
        <w:adjustRightInd w:val="0"/>
        <w:ind w:firstLine="709"/>
        <w:jc w:val="both"/>
        <w:rPr>
          <w:sz w:val="10"/>
          <w:szCs w:val="24"/>
        </w:rPr>
      </w:pPr>
    </w:p>
    <w:p w:rsidR="009C5522" w:rsidRDefault="009C5522" w:rsidP="004C6976">
      <w:pPr>
        <w:autoSpaceDE w:val="0"/>
        <w:autoSpaceDN w:val="0"/>
        <w:adjustRightInd w:val="0"/>
        <w:jc w:val="center"/>
        <w:rPr>
          <w:b/>
          <w:sz w:val="24"/>
          <w:szCs w:val="24"/>
        </w:rPr>
      </w:pPr>
      <w:r w:rsidRPr="00966AE1">
        <w:rPr>
          <w:b/>
          <w:sz w:val="24"/>
          <w:szCs w:val="24"/>
        </w:rPr>
        <w:t xml:space="preserve">Динамика среднесписочной численности работников, </w:t>
      </w:r>
      <w:r w:rsidRPr="00966AE1">
        <w:rPr>
          <w:b/>
          <w:sz w:val="24"/>
          <w:szCs w:val="24"/>
        </w:rPr>
        <w:br/>
        <w:t>занятых в экономике города Твери в 201</w:t>
      </w:r>
      <w:r w:rsidR="000D794F">
        <w:rPr>
          <w:b/>
          <w:sz w:val="24"/>
          <w:szCs w:val="24"/>
        </w:rPr>
        <w:t>8</w:t>
      </w:r>
      <w:r w:rsidRPr="00966AE1">
        <w:rPr>
          <w:b/>
          <w:sz w:val="24"/>
          <w:szCs w:val="24"/>
        </w:rPr>
        <w:t>-202</w:t>
      </w:r>
      <w:r w:rsidR="000D794F">
        <w:rPr>
          <w:b/>
          <w:sz w:val="24"/>
          <w:szCs w:val="24"/>
        </w:rPr>
        <w:t>5</w:t>
      </w:r>
      <w:r w:rsidRPr="00966AE1">
        <w:rPr>
          <w:b/>
          <w:sz w:val="24"/>
          <w:szCs w:val="24"/>
        </w:rPr>
        <w:t xml:space="preserve"> годах </w:t>
      </w:r>
    </w:p>
    <w:p w:rsidR="009C5522" w:rsidRPr="001A22EF" w:rsidRDefault="009C5522" w:rsidP="004C6976">
      <w:pPr>
        <w:autoSpaceDE w:val="0"/>
        <w:autoSpaceDN w:val="0"/>
        <w:adjustRightInd w:val="0"/>
        <w:jc w:val="center"/>
        <w:rPr>
          <w:sz w:val="18"/>
          <w:szCs w:val="24"/>
        </w:rPr>
      </w:pPr>
    </w:p>
    <w:tbl>
      <w:tblPr>
        <w:tblStyle w:val="af1"/>
        <w:tblW w:w="0" w:type="auto"/>
        <w:tblLayout w:type="fixed"/>
        <w:tblLook w:val="04A0" w:firstRow="1" w:lastRow="0" w:firstColumn="1" w:lastColumn="0" w:noHBand="0" w:noVBand="1"/>
      </w:tblPr>
      <w:tblGrid>
        <w:gridCol w:w="2802"/>
        <w:gridCol w:w="939"/>
        <w:gridCol w:w="939"/>
        <w:gridCol w:w="939"/>
        <w:gridCol w:w="939"/>
        <w:gridCol w:w="939"/>
        <w:gridCol w:w="945"/>
        <w:gridCol w:w="945"/>
        <w:gridCol w:w="945"/>
      </w:tblGrid>
      <w:tr w:rsidR="00B8016D" w:rsidRPr="00966AE1" w:rsidTr="00B8016D">
        <w:tc>
          <w:tcPr>
            <w:tcW w:w="2802" w:type="dxa"/>
            <w:vMerge w:val="restart"/>
            <w:vAlign w:val="center"/>
          </w:tcPr>
          <w:p w:rsidR="00B8016D" w:rsidRPr="00966AE1" w:rsidRDefault="00B8016D" w:rsidP="004C6976">
            <w:pPr>
              <w:autoSpaceDE w:val="0"/>
              <w:autoSpaceDN w:val="0"/>
              <w:adjustRightInd w:val="0"/>
              <w:jc w:val="center"/>
              <w:rPr>
                <w:sz w:val="24"/>
                <w:szCs w:val="24"/>
              </w:rPr>
            </w:pPr>
          </w:p>
        </w:tc>
        <w:tc>
          <w:tcPr>
            <w:tcW w:w="939" w:type="dxa"/>
            <w:vMerge w:val="restart"/>
            <w:vAlign w:val="center"/>
          </w:tcPr>
          <w:p w:rsidR="00B8016D" w:rsidRPr="00966AE1" w:rsidRDefault="00B8016D" w:rsidP="004C6976">
            <w:pPr>
              <w:autoSpaceDE w:val="0"/>
              <w:autoSpaceDN w:val="0"/>
              <w:adjustRightInd w:val="0"/>
              <w:jc w:val="center"/>
              <w:rPr>
                <w:b/>
                <w:sz w:val="24"/>
                <w:szCs w:val="24"/>
              </w:rPr>
            </w:pPr>
            <w:r>
              <w:rPr>
                <w:b/>
                <w:sz w:val="24"/>
                <w:szCs w:val="24"/>
              </w:rPr>
              <w:t>2018</w:t>
            </w:r>
          </w:p>
        </w:tc>
        <w:tc>
          <w:tcPr>
            <w:tcW w:w="939" w:type="dxa"/>
            <w:vMerge w:val="restart"/>
            <w:vAlign w:val="center"/>
          </w:tcPr>
          <w:p w:rsidR="00B8016D" w:rsidRDefault="00B8016D" w:rsidP="004C6976">
            <w:pPr>
              <w:autoSpaceDE w:val="0"/>
              <w:autoSpaceDN w:val="0"/>
              <w:adjustRightInd w:val="0"/>
              <w:jc w:val="center"/>
              <w:rPr>
                <w:b/>
                <w:sz w:val="24"/>
                <w:szCs w:val="24"/>
              </w:rPr>
            </w:pPr>
            <w:r>
              <w:rPr>
                <w:b/>
                <w:sz w:val="24"/>
                <w:szCs w:val="24"/>
              </w:rPr>
              <w:t>2019</w:t>
            </w:r>
          </w:p>
          <w:p w:rsidR="00B8016D" w:rsidRPr="0026695A" w:rsidRDefault="00B8016D" w:rsidP="004C6976">
            <w:pPr>
              <w:autoSpaceDE w:val="0"/>
              <w:autoSpaceDN w:val="0"/>
              <w:adjustRightInd w:val="0"/>
              <w:jc w:val="center"/>
              <w:rPr>
                <w:i/>
                <w:sz w:val="24"/>
                <w:szCs w:val="24"/>
              </w:rPr>
            </w:pPr>
            <w:r w:rsidRPr="0026695A">
              <w:rPr>
                <w:i/>
                <w:sz w:val="22"/>
                <w:szCs w:val="24"/>
              </w:rPr>
              <w:t>оценка</w:t>
            </w:r>
          </w:p>
        </w:tc>
        <w:tc>
          <w:tcPr>
            <w:tcW w:w="5652" w:type="dxa"/>
            <w:gridSpan w:val="6"/>
            <w:vAlign w:val="center"/>
          </w:tcPr>
          <w:p w:rsidR="00B8016D" w:rsidRPr="0026695A" w:rsidRDefault="00B8016D" w:rsidP="004C6976">
            <w:pPr>
              <w:autoSpaceDE w:val="0"/>
              <w:autoSpaceDN w:val="0"/>
              <w:adjustRightInd w:val="0"/>
              <w:jc w:val="center"/>
              <w:rPr>
                <w:b/>
                <w:sz w:val="24"/>
                <w:szCs w:val="24"/>
              </w:rPr>
            </w:pPr>
            <w:r w:rsidRPr="0026695A">
              <w:rPr>
                <w:b/>
                <w:sz w:val="24"/>
                <w:szCs w:val="24"/>
              </w:rPr>
              <w:t>Прогноз</w:t>
            </w:r>
          </w:p>
        </w:tc>
      </w:tr>
      <w:tr w:rsidR="00B8016D" w:rsidRPr="00966AE1" w:rsidTr="00B8016D">
        <w:trPr>
          <w:trHeight w:val="223"/>
        </w:trPr>
        <w:tc>
          <w:tcPr>
            <w:tcW w:w="2802" w:type="dxa"/>
            <w:vMerge/>
          </w:tcPr>
          <w:p w:rsidR="00B8016D" w:rsidRPr="00966AE1" w:rsidRDefault="00B8016D" w:rsidP="004C6976">
            <w:pPr>
              <w:autoSpaceDE w:val="0"/>
              <w:autoSpaceDN w:val="0"/>
              <w:adjustRightInd w:val="0"/>
              <w:jc w:val="both"/>
              <w:rPr>
                <w:sz w:val="24"/>
                <w:szCs w:val="24"/>
              </w:rPr>
            </w:pPr>
          </w:p>
        </w:tc>
        <w:tc>
          <w:tcPr>
            <w:tcW w:w="939" w:type="dxa"/>
            <w:vMerge/>
            <w:vAlign w:val="center"/>
          </w:tcPr>
          <w:p w:rsidR="00B8016D" w:rsidRPr="00966AE1" w:rsidRDefault="00B8016D" w:rsidP="004C6976">
            <w:pPr>
              <w:autoSpaceDE w:val="0"/>
              <w:autoSpaceDN w:val="0"/>
              <w:adjustRightInd w:val="0"/>
              <w:jc w:val="center"/>
              <w:rPr>
                <w:sz w:val="24"/>
                <w:szCs w:val="24"/>
              </w:rPr>
            </w:pPr>
          </w:p>
        </w:tc>
        <w:tc>
          <w:tcPr>
            <w:tcW w:w="939" w:type="dxa"/>
            <w:vMerge/>
            <w:vAlign w:val="center"/>
          </w:tcPr>
          <w:p w:rsidR="00B8016D" w:rsidRPr="00966AE1" w:rsidRDefault="00B8016D" w:rsidP="004C6976">
            <w:pPr>
              <w:autoSpaceDE w:val="0"/>
              <w:autoSpaceDN w:val="0"/>
              <w:adjustRightInd w:val="0"/>
              <w:jc w:val="center"/>
              <w:rPr>
                <w:sz w:val="24"/>
                <w:szCs w:val="24"/>
              </w:rPr>
            </w:pPr>
          </w:p>
        </w:tc>
        <w:tc>
          <w:tcPr>
            <w:tcW w:w="939" w:type="dxa"/>
            <w:vAlign w:val="center"/>
          </w:tcPr>
          <w:p w:rsidR="00B8016D" w:rsidRPr="00966AE1" w:rsidRDefault="00B8016D" w:rsidP="00B8016D">
            <w:pPr>
              <w:autoSpaceDE w:val="0"/>
              <w:autoSpaceDN w:val="0"/>
              <w:adjustRightInd w:val="0"/>
              <w:jc w:val="center"/>
              <w:rPr>
                <w:b/>
                <w:sz w:val="24"/>
                <w:szCs w:val="24"/>
              </w:rPr>
            </w:pPr>
            <w:r>
              <w:rPr>
                <w:b/>
                <w:sz w:val="24"/>
                <w:szCs w:val="24"/>
              </w:rPr>
              <w:t>2020</w:t>
            </w:r>
          </w:p>
        </w:tc>
        <w:tc>
          <w:tcPr>
            <w:tcW w:w="939" w:type="dxa"/>
            <w:vAlign w:val="center"/>
          </w:tcPr>
          <w:p w:rsidR="00B8016D" w:rsidRPr="00966AE1" w:rsidRDefault="00B8016D" w:rsidP="00B8016D">
            <w:pPr>
              <w:autoSpaceDE w:val="0"/>
              <w:autoSpaceDN w:val="0"/>
              <w:adjustRightInd w:val="0"/>
              <w:jc w:val="center"/>
              <w:rPr>
                <w:sz w:val="24"/>
                <w:szCs w:val="24"/>
              </w:rPr>
            </w:pPr>
            <w:r w:rsidRPr="00966AE1">
              <w:rPr>
                <w:b/>
                <w:sz w:val="24"/>
                <w:szCs w:val="24"/>
              </w:rPr>
              <w:t>2</w:t>
            </w:r>
            <w:r>
              <w:rPr>
                <w:b/>
                <w:sz w:val="24"/>
                <w:szCs w:val="24"/>
              </w:rPr>
              <w:t>021</w:t>
            </w:r>
          </w:p>
        </w:tc>
        <w:tc>
          <w:tcPr>
            <w:tcW w:w="939" w:type="dxa"/>
            <w:vAlign w:val="center"/>
          </w:tcPr>
          <w:p w:rsidR="00B8016D" w:rsidRPr="00966AE1" w:rsidRDefault="00B8016D" w:rsidP="00B8016D">
            <w:pPr>
              <w:autoSpaceDE w:val="0"/>
              <w:autoSpaceDN w:val="0"/>
              <w:adjustRightInd w:val="0"/>
              <w:jc w:val="center"/>
              <w:rPr>
                <w:i/>
                <w:sz w:val="24"/>
                <w:szCs w:val="24"/>
              </w:rPr>
            </w:pPr>
            <w:r w:rsidRPr="00966AE1">
              <w:rPr>
                <w:b/>
                <w:sz w:val="24"/>
                <w:szCs w:val="24"/>
              </w:rPr>
              <w:t>20</w:t>
            </w:r>
            <w:r>
              <w:rPr>
                <w:b/>
                <w:sz w:val="24"/>
                <w:szCs w:val="24"/>
              </w:rPr>
              <w:t>22</w:t>
            </w:r>
          </w:p>
        </w:tc>
        <w:tc>
          <w:tcPr>
            <w:tcW w:w="945" w:type="dxa"/>
            <w:vAlign w:val="center"/>
          </w:tcPr>
          <w:p w:rsidR="00B8016D" w:rsidRPr="00966AE1" w:rsidRDefault="00B8016D" w:rsidP="00B8016D">
            <w:pPr>
              <w:autoSpaceDE w:val="0"/>
              <w:autoSpaceDN w:val="0"/>
              <w:adjustRightInd w:val="0"/>
              <w:jc w:val="center"/>
              <w:rPr>
                <w:b/>
                <w:sz w:val="24"/>
                <w:szCs w:val="24"/>
              </w:rPr>
            </w:pPr>
            <w:r w:rsidRPr="00966AE1">
              <w:rPr>
                <w:b/>
                <w:sz w:val="24"/>
                <w:szCs w:val="24"/>
              </w:rPr>
              <w:t>202</w:t>
            </w:r>
            <w:r>
              <w:rPr>
                <w:b/>
                <w:sz w:val="24"/>
                <w:szCs w:val="24"/>
              </w:rPr>
              <w:t>3</w:t>
            </w:r>
          </w:p>
        </w:tc>
        <w:tc>
          <w:tcPr>
            <w:tcW w:w="945" w:type="dxa"/>
            <w:vAlign w:val="center"/>
          </w:tcPr>
          <w:p w:rsidR="00B8016D" w:rsidRPr="0026695A" w:rsidRDefault="00B8016D" w:rsidP="00B8016D">
            <w:pPr>
              <w:autoSpaceDE w:val="0"/>
              <w:autoSpaceDN w:val="0"/>
              <w:adjustRightInd w:val="0"/>
              <w:jc w:val="center"/>
              <w:rPr>
                <w:b/>
                <w:sz w:val="24"/>
                <w:szCs w:val="24"/>
              </w:rPr>
            </w:pPr>
            <w:r w:rsidRPr="0026695A">
              <w:rPr>
                <w:b/>
                <w:sz w:val="24"/>
                <w:szCs w:val="24"/>
              </w:rPr>
              <w:t>202</w:t>
            </w:r>
            <w:r>
              <w:rPr>
                <w:b/>
                <w:sz w:val="24"/>
                <w:szCs w:val="24"/>
              </w:rPr>
              <w:t>4</w:t>
            </w:r>
          </w:p>
        </w:tc>
        <w:tc>
          <w:tcPr>
            <w:tcW w:w="945" w:type="dxa"/>
            <w:vAlign w:val="center"/>
          </w:tcPr>
          <w:p w:rsidR="00B8016D" w:rsidRPr="0026695A" w:rsidRDefault="00B8016D" w:rsidP="00B8016D">
            <w:pPr>
              <w:autoSpaceDE w:val="0"/>
              <w:autoSpaceDN w:val="0"/>
              <w:adjustRightInd w:val="0"/>
              <w:jc w:val="center"/>
              <w:rPr>
                <w:b/>
                <w:sz w:val="24"/>
                <w:szCs w:val="24"/>
              </w:rPr>
            </w:pPr>
            <w:r w:rsidRPr="0026695A">
              <w:rPr>
                <w:b/>
                <w:sz w:val="24"/>
                <w:szCs w:val="24"/>
              </w:rPr>
              <w:t>202</w:t>
            </w:r>
            <w:r>
              <w:rPr>
                <w:b/>
                <w:sz w:val="24"/>
                <w:szCs w:val="24"/>
              </w:rPr>
              <w:t>5</w:t>
            </w:r>
          </w:p>
        </w:tc>
      </w:tr>
      <w:tr w:rsidR="00B8016D" w:rsidRPr="00966AE1" w:rsidTr="00B8016D">
        <w:trPr>
          <w:trHeight w:val="193"/>
        </w:trPr>
        <w:tc>
          <w:tcPr>
            <w:tcW w:w="2802" w:type="dxa"/>
            <w:vAlign w:val="center"/>
          </w:tcPr>
          <w:p w:rsidR="00B8016D" w:rsidRPr="00966AE1" w:rsidRDefault="00B8016D" w:rsidP="004C6976">
            <w:pPr>
              <w:autoSpaceDE w:val="0"/>
              <w:autoSpaceDN w:val="0"/>
              <w:adjustRightInd w:val="0"/>
              <w:rPr>
                <w:i/>
                <w:sz w:val="24"/>
                <w:szCs w:val="24"/>
              </w:rPr>
            </w:pPr>
            <w:r w:rsidRPr="00966AE1">
              <w:rPr>
                <w:sz w:val="24"/>
                <w:szCs w:val="24"/>
              </w:rPr>
              <w:t>Всего, тыс. человек</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214,0</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215,1</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215,7</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216,2</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216,7</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217,0</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217,2</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217,3</w:t>
            </w:r>
          </w:p>
        </w:tc>
      </w:tr>
      <w:tr w:rsidR="00B8016D" w:rsidRPr="00966AE1" w:rsidTr="00B8016D">
        <w:tc>
          <w:tcPr>
            <w:tcW w:w="2802" w:type="dxa"/>
            <w:vAlign w:val="center"/>
          </w:tcPr>
          <w:p w:rsidR="00B8016D" w:rsidRPr="00966AE1" w:rsidRDefault="00B8016D" w:rsidP="004C6976">
            <w:pPr>
              <w:autoSpaceDE w:val="0"/>
              <w:autoSpaceDN w:val="0"/>
              <w:adjustRightInd w:val="0"/>
              <w:rPr>
                <w:sz w:val="23"/>
                <w:szCs w:val="23"/>
              </w:rPr>
            </w:pPr>
            <w:proofErr w:type="gramStart"/>
            <w:r w:rsidRPr="00966AE1">
              <w:rPr>
                <w:sz w:val="23"/>
                <w:szCs w:val="23"/>
              </w:rPr>
              <w:t>В</w:t>
            </w:r>
            <w:proofErr w:type="gramEnd"/>
            <w:r w:rsidRPr="00966AE1">
              <w:rPr>
                <w:sz w:val="23"/>
                <w:szCs w:val="23"/>
              </w:rPr>
              <w:t xml:space="preserve"> % </w:t>
            </w:r>
            <w:proofErr w:type="gramStart"/>
            <w:r w:rsidRPr="00966AE1">
              <w:rPr>
                <w:sz w:val="23"/>
                <w:szCs w:val="23"/>
              </w:rPr>
              <w:t>к</w:t>
            </w:r>
            <w:proofErr w:type="gramEnd"/>
            <w:r w:rsidRPr="00966AE1">
              <w:rPr>
                <w:sz w:val="23"/>
                <w:szCs w:val="23"/>
              </w:rPr>
              <w:t xml:space="preserve"> предыдущему году</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100,8</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100,5</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100,3</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100,2</w:t>
            </w:r>
          </w:p>
        </w:tc>
        <w:tc>
          <w:tcPr>
            <w:tcW w:w="939" w:type="dxa"/>
            <w:vAlign w:val="center"/>
          </w:tcPr>
          <w:p w:rsidR="00B8016D" w:rsidRPr="00966AE1" w:rsidRDefault="00B8016D" w:rsidP="0014679D">
            <w:pPr>
              <w:autoSpaceDE w:val="0"/>
              <w:autoSpaceDN w:val="0"/>
              <w:adjustRightInd w:val="0"/>
              <w:jc w:val="center"/>
              <w:rPr>
                <w:sz w:val="24"/>
                <w:szCs w:val="24"/>
              </w:rPr>
            </w:pPr>
            <w:r w:rsidRPr="00966AE1">
              <w:rPr>
                <w:sz w:val="24"/>
                <w:szCs w:val="24"/>
              </w:rPr>
              <w:t>100,2</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100,1</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100,1</w:t>
            </w:r>
          </w:p>
        </w:tc>
        <w:tc>
          <w:tcPr>
            <w:tcW w:w="945" w:type="dxa"/>
            <w:vAlign w:val="center"/>
          </w:tcPr>
          <w:p w:rsidR="00B8016D" w:rsidRPr="00966AE1" w:rsidRDefault="00B8016D" w:rsidP="004C6976">
            <w:pPr>
              <w:autoSpaceDE w:val="0"/>
              <w:autoSpaceDN w:val="0"/>
              <w:adjustRightInd w:val="0"/>
              <w:jc w:val="center"/>
              <w:rPr>
                <w:sz w:val="24"/>
                <w:szCs w:val="24"/>
              </w:rPr>
            </w:pPr>
            <w:r>
              <w:rPr>
                <w:sz w:val="24"/>
                <w:szCs w:val="24"/>
              </w:rPr>
              <w:t>100,05</w:t>
            </w:r>
          </w:p>
        </w:tc>
      </w:tr>
    </w:tbl>
    <w:p w:rsidR="000454AA" w:rsidRPr="00B54E8F" w:rsidRDefault="000454AA" w:rsidP="001A22EF">
      <w:pPr>
        <w:autoSpaceDE w:val="0"/>
        <w:autoSpaceDN w:val="0"/>
        <w:adjustRightInd w:val="0"/>
        <w:jc w:val="center"/>
        <w:rPr>
          <w:sz w:val="24"/>
          <w:szCs w:val="24"/>
        </w:rPr>
      </w:pPr>
    </w:p>
    <w:p w:rsidR="000454AA" w:rsidRPr="00B54E8F" w:rsidRDefault="000454AA" w:rsidP="001A22EF">
      <w:pPr>
        <w:jc w:val="both"/>
        <w:rPr>
          <w:b/>
          <w:sz w:val="24"/>
          <w:szCs w:val="24"/>
        </w:rPr>
      </w:pPr>
      <w:r w:rsidRPr="00B54E8F">
        <w:rPr>
          <w:b/>
          <w:sz w:val="24"/>
          <w:szCs w:val="24"/>
        </w:rPr>
        <w:t>5. Уровень безработицы.</w:t>
      </w:r>
    </w:p>
    <w:p w:rsidR="009C5522" w:rsidRPr="00B54E8F" w:rsidRDefault="009C5522" w:rsidP="001A22EF">
      <w:pPr>
        <w:widowControl w:val="0"/>
        <w:ind w:firstLine="709"/>
        <w:jc w:val="both"/>
        <w:rPr>
          <w:rFonts w:eastAsia="Calibri"/>
          <w:sz w:val="14"/>
          <w:szCs w:val="24"/>
        </w:rPr>
      </w:pPr>
    </w:p>
    <w:p w:rsidR="009C5522" w:rsidRDefault="009C5522" w:rsidP="009C5522">
      <w:pPr>
        <w:widowControl w:val="0"/>
        <w:spacing w:line="288" w:lineRule="auto"/>
        <w:ind w:firstLine="709"/>
        <w:jc w:val="both"/>
        <w:rPr>
          <w:rFonts w:eastAsia="Batang"/>
          <w:sz w:val="24"/>
          <w14:textOutline w14:w="0" w14:cap="rnd" w14:cmpd="sng" w14:algn="ctr">
            <w14:noFill/>
            <w14:prstDash w14:val="solid"/>
            <w14:miter w14:lim="0"/>
          </w14:textOutline>
        </w:rPr>
      </w:pPr>
      <w:r w:rsidRPr="00B54E8F">
        <w:rPr>
          <w:rFonts w:eastAsia="Batang"/>
          <w:sz w:val="24"/>
          <w:szCs w:val="24"/>
          <w14:textOutline w14:w="0" w14:cap="rnd" w14:cmpd="sng" w14:algn="ctr">
            <w14:noFill/>
            <w14:prstDash w14:val="solid"/>
            <w14:miter w14:lim="0"/>
          </w14:textOutline>
        </w:rPr>
        <w:t xml:space="preserve">Итоги 2018 года </w:t>
      </w:r>
      <w:r w:rsidR="003B302F">
        <w:rPr>
          <w:rFonts w:eastAsia="Batang"/>
          <w:sz w:val="24"/>
          <w:szCs w:val="24"/>
          <w14:textOutline w14:w="0" w14:cap="rnd" w14:cmpd="sng" w14:algn="ctr">
            <w14:noFill/>
            <w14:prstDash w14:val="solid"/>
            <w14:miter w14:lim="0"/>
          </w14:textOutline>
        </w:rPr>
        <w:t xml:space="preserve">свидетельствуют о полном </w:t>
      </w:r>
      <w:r w:rsidRPr="00B54E8F">
        <w:rPr>
          <w:rFonts w:eastAsia="Batang"/>
          <w:sz w:val="24"/>
          <w:szCs w:val="24"/>
          <w14:textOutline w14:w="0" w14:cap="rnd" w14:cmpd="sng" w14:algn="ctr">
            <w14:noFill/>
            <w14:prstDash w14:val="solid"/>
            <w14:miter w14:lim="0"/>
          </w14:textOutline>
        </w:rPr>
        <w:t>преодолен</w:t>
      </w:r>
      <w:r w:rsidR="003B302F">
        <w:rPr>
          <w:rFonts w:eastAsia="Batang"/>
          <w:sz w:val="24"/>
          <w:szCs w:val="24"/>
          <w14:textOutline w14:w="0" w14:cap="rnd" w14:cmpd="sng" w14:algn="ctr">
            <w14:noFill/>
            <w14:prstDash w14:val="solid"/>
            <w14:miter w14:lim="0"/>
          </w14:textOutline>
        </w:rPr>
        <w:t>ии</w:t>
      </w:r>
      <w:r w:rsidRPr="00B54E8F">
        <w:rPr>
          <w:rFonts w:eastAsia="Batang"/>
          <w:sz w:val="24"/>
          <w:szCs w:val="24"/>
          <w14:textOutline w14:w="0" w14:cap="rnd" w14:cmpd="sng" w14:algn="ctr">
            <w14:noFill/>
            <w14:prstDash w14:val="solid"/>
            <w14:miter w14:lim="0"/>
          </w14:textOutline>
        </w:rPr>
        <w:t xml:space="preserve"> пик</w:t>
      </w:r>
      <w:r w:rsidR="003B302F">
        <w:rPr>
          <w:rFonts w:eastAsia="Batang"/>
          <w:sz w:val="24"/>
          <w:szCs w:val="24"/>
          <w14:textOutline w14:w="0" w14:cap="rnd" w14:cmpd="sng" w14:algn="ctr">
            <w14:noFill/>
            <w14:prstDash w14:val="solid"/>
            <w14:miter w14:lim="0"/>
          </w14:textOutline>
        </w:rPr>
        <w:t>а двух</w:t>
      </w:r>
      <w:r w:rsidRPr="00B54E8F">
        <w:rPr>
          <w:rFonts w:eastAsia="Calibri"/>
          <w:sz w:val="24"/>
          <w:szCs w:val="26"/>
        </w:rPr>
        <w:t xml:space="preserve"> кризисных периодов</w:t>
      </w:r>
      <w:r w:rsidR="001750E5">
        <w:rPr>
          <w:rFonts w:eastAsia="Calibri"/>
          <w:sz w:val="24"/>
          <w:szCs w:val="26"/>
        </w:rPr>
        <w:t xml:space="preserve">, начавшихся в </w:t>
      </w:r>
      <w:r w:rsidRPr="00B54E8F">
        <w:rPr>
          <w:rFonts w:eastAsia="Batang"/>
          <w:sz w:val="24"/>
          <w:szCs w:val="24"/>
          <w14:textOutline w14:w="0" w14:cap="rnd" w14:cmpd="sng" w14:algn="ctr">
            <w14:noFill/>
            <w14:prstDash w14:val="solid"/>
            <w14:miter w14:lim="0"/>
          </w14:textOutline>
        </w:rPr>
        <w:t>2009 и 2014 год</w:t>
      </w:r>
      <w:r w:rsidR="001750E5">
        <w:rPr>
          <w:rFonts w:eastAsia="Batang"/>
          <w:sz w:val="24"/>
          <w:szCs w:val="24"/>
          <w14:textOutline w14:w="0" w14:cap="rnd" w14:cmpd="sng" w14:algn="ctr">
            <w14:noFill/>
            <w14:prstDash w14:val="solid"/>
            <w14:miter w14:lim="0"/>
          </w14:textOutline>
        </w:rPr>
        <w:t>ах</w:t>
      </w:r>
      <w:r w:rsidR="003B302F">
        <w:rPr>
          <w:rFonts w:eastAsia="Batang"/>
          <w:sz w:val="24"/>
          <w:szCs w:val="24"/>
          <w14:textOutline w14:w="0" w14:cap="rnd" w14:cmpd="sng" w14:algn="ctr">
            <w14:noFill/>
            <w14:prstDash w14:val="solid"/>
            <w14:miter w14:lim="0"/>
          </w14:textOutline>
        </w:rPr>
        <w:t xml:space="preserve">. </w:t>
      </w:r>
      <w:proofErr w:type="gramStart"/>
      <w:r w:rsidR="003B302F">
        <w:rPr>
          <w:rFonts w:eastAsia="Batang"/>
          <w:sz w:val="24"/>
          <w:szCs w:val="24"/>
          <w14:textOutline w14:w="0" w14:cap="rnd" w14:cmpd="sng" w14:algn="ctr">
            <w14:noFill/>
            <w14:prstDash w14:val="solid"/>
            <w14:miter w14:lim="0"/>
          </w14:textOutline>
        </w:rPr>
        <w:t>У</w:t>
      </w:r>
      <w:r w:rsidRPr="00B54E8F">
        <w:rPr>
          <w:rFonts w:eastAsia="Calibri"/>
          <w:sz w:val="24"/>
          <w:szCs w:val="26"/>
        </w:rPr>
        <w:t>ровень безработных в городе Твери</w:t>
      </w:r>
      <w:r w:rsidR="003B302F">
        <w:rPr>
          <w:rFonts w:eastAsia="Calibri"/>
          <w:sz w:val="24"/>
          <w:szCs w:val="26"/>
        </w:rPr>
        <w:t xml:space="preserve">, а также </w:t>
      </w:r>
      <w:r w:rsidRPr="00B54E8F">
        <w:rPr>
          <w:rFonts w:eastAsia="Calibri"/>
          <w:sz w:val="24"/>
          <w:szCs w:val="26"/>
        </w:rPr>
        <w:t xml:space="preserve">количество </w:t>
      </w:r>
      <w:r w:rsidRPr="00966AE1">
        <w:rPr>
          <w:rFonts w:eastAsia="Calibri"/>
          <w:sz w:val="24"/>
          <w:szCs w:val="26"/>
        </w:rPr>
        <w:t xml:space="preserve">организаций, перешедших </w:t>
      </w:r>
      <w:r w:rsidR="001A22EF">
        <w:rPr>
          <w:rFonts w:eastAsia="Calibri"/>
          <w:sz w:val="24"/>
          <w:szCs w:val="26"/>
        </w:rPr>
        <w:t xml:space="preserve">по объективным причинам </w:t>
      </w:r>
      <w:r w:rsidRPr="00966AE1">
        <w:rPr>
          <w:rFonts w:eastAsia="Calibri"/>
          <w:sz w:val="24"/>
          <w:szCs w:val="26"/>
        </w:rPr>
        <w:t>в режим неполной занятости</w:t>
      </w:r>
      <w:r w:rsidR="003B302F">
        <w:rPr>
          <w:rFonts w:eastAsia="Calibri"/>
          <w:sz w:val="24"/>
          <w:szCs w:val="26"/>
        </w:rPr>
        <w:t xml:space="preserve"> - </w:t>
      </w:r>
      <w:r w:rsidRPr="00966AE1">
        <w:rPr>
          <w:rFonts w:eastAsia="Calibri"/>
          <w:sz w:val="24"/>
          <w:szCs w:val="26"/>
        </w:rPr>
        <w:t>самы</w:t>
      </w:r>
      <w:r w:rsidR="003B302F">
        <w:rPr>
          <w:rFonts w:eastAsia="Calibri"/>
          <w:sz w:val="24"/>
          <w:szCs w:val="26"/>
        </w:rPr>
        <w:t>е</w:t>
      </w:r>
      <w:r w:rsidRPr="00966AE1">
        <w:rPr>
          <w:rFonts w:eastAsia="Calibri"/>
          <w:sz w:val="24"/>
          <w:szCs w:val="26"/>
        </w:rPr>
        <w:t xml:space="preserve"> низки</w:t>
      </w:r>
      <w:r w:rsidR="003B302F">
        <w:rPr>
          <w:rFonts w:eastAsia="Calibri"/>
          <w:sz w:val="24"/>
          <w:szCs w:val="26"/>
        </w:rPr>
        <w:t>е</w:t>
      </w:r>
      <w:r w:rsidRPr="00966AE1">
        <w:rPr>
          <w:rFonts w:eastAsia="Calibri"/>
          <w:sz w:val="24"/>
          <w:szCs w:val="26"/>
        </w:rPr>
        <w:t xml:space="preserve"> за последние </w:t>
      </w:r>
      <w:r w:rsidR="001A22EF">
        <w:rPr>
          <w:rFonts w:eastAsia="Calibri"/>
          <w:sz w:val="24"/>
          <w:szCs w:val="26"/>
        </w:rPr>
        <w:t>10</w:t>
      </w:r>
      <w:r w:rsidRPr="00966AE1">
        <w:rPr>
          <w:rFonts w:eastAsia="Calibri"/>
          <w:sz w:val="24"/>
          <w:szCs w:val="26"/>
        </w:rPr>
        <w:t xml:space="preserve"> лет.</w:t>
      </w:r>
      <w:proofErr w:type="gramEnd"/>
      <w:r w:rsidRPr="00966AE1">
        <w:rPr>
          <w:rFonts w:eastAsia="Calibri"/>
          <w:sz w:val="24"/>
          <w:szCs w:val="26"/>
        </w:rPr>
        <w:t xml:space="preserve"> </w:t>
      </w:r>
      <w:r w:rsidRPr="00966AE1">
        <w:rPr>
          <w:rFonts w:eastAsia="Batang"/>
          <w:sz w:val="24"/>
          <w14:textOutline w14:w="0" w14:cap="rnd" w14:cmpd="sng" w14:algn="ctr">
            <w14:noFill/>
            <w14:prstDash w14:val="solid"/>
            <w14:miter w14:lim="0"/>
          </w14:textOutline>
        </w:rPr>
        <w:t xml:space="preserve">На 1 января 2019 года </w:t>
      </w:r>
      <w:r w:rsidR="001A22EF">
        <w:rPr>
          <w:rFonts w:eastAsia="Batang"/>
          <w:sz w:val="24"/>
          <w14:textOutline w14:w="0" w14:cap="rnd" w14:cmpd="sng" w14:algn="ctr">
            <w14:noFill/>
            <w14:prstDash w14:val="solid"/>
            <w14:miter w14:lim="0"/>
          </w14:textOutline>
        </w:rPr>
        <w:t>в этом режиме</w:t>
      </w:r>
      <w:r w:rsidRPr="00966AE1">
        <w:rPr>
          <w:rFonts w:eastAsia="Batang"/>
          <w:sz w:val="24"/>
          <w14:textOutline w14:w="0" w14:cap="rnd" w14:cmpd="sng" w14:algn="ctr">
            <w14:noFill/>
            <w14:prstDash w14:val="solid"/>
            <w14:miter w14:lim="0"/>
          </w14:textOutline>
        </w:rPr>
        <w:t xml:space="preserve"> </w:t>
      </w:r>
      <w:r w:rsidR="001A22EF">
        <w:rPr>
          <w:rFonts w:eastAsia="Batang"/>
          <w:sz w:val="24"/>
          <w14:textOutline w14:w="0" w14:cap="rnd" w14:cmpd="sng" w14:algn="ctr">
            <w14:noFill/>
            <w14:prstDash w14:val="solid"/>
            <w14:miter w14:lim="0"/>
          </w14:textOutline>
        </w:rPr>
        <w:t xml:space="preserve">оставалось </w:t>
      </w:r>
      <w:r w:rsidRPr="00966AE1">
        <w:rPr>
          <w:rFonts w:eastAsia="Batang"/>
          <w:sz w:val="24"/>
          <w14:textOutline w14:w="0" w14:cap="rnd" w14:cmpd="sng" w14:algn="ctr">
            <w14:noFill/>
            <w14:prstDash w14:val="solid"/>
            <w14:miter w14:lim="0"/>
          </w14:textOutline>
        </w:rPr>
        <w:t>368 работников 12-</w:t>
      </w:r>
      <w:r w:rsidRPr="00966AE1">
        <w:rPr>
          <w:rFonts w:eastAsia="Batang"/>
          <w:i/>
          <w:sz w:val="24"/>
          <w14:textOutline w14:w="0" w14:cap="rnd" w14:cmpd="sng" w14:algn="ctr">
            <w14:noFill/>
            <w14:prstDash w14:val="solid"/>
            <w14:miter w14:lim="0"/>
          </w14:textOutline>
        </w:rPr>
        <w:t>ти</w:t>
      </w:r>
      <w:r w:rsidRPr="00966AE1">
        <w:rPr>
          <w:rFonts w:eastAsia="Batang"/>
          <w:sz w:val="24"/>
          <w14:textOutline w14:w="0" w14:cap="rnd" w14:cmpd="sng" w14:algn="ctr">
            <w14:noFill/>
            <w14:prstDash w14:val="solid"/>
            <w14:miter w14:lim="0"/>
          </w14:textOutline>
        </w:rPr>
        <w:t xml:space="preserve"> хозяйствующих субъектов. </w:t>
      </w:r>
    </w:p>
    <w:p w:rsidR="001A22EF" w:rsidRPr="001A22EF" w:rsidRDefault="001A22EF" w:rsidP="001A22EF">
      <w:pPr>
        <w:widowControl w:val="0"/>
        <w:ind w:firstLine="709"/>
        <w:jc w:val="both"/>
        <w:rPr>
          <w:rFonts w:eastAsia="Batang"/>
          <w:sz w:val="14"/>
          <w14:textOutline w14:w="0" w14:cap="rnd" w14:cmpd="sng" w14:algn="ctr">
            <w14:noFill/>
            <w14:prstDash w14:val="solid"/>
            <w14:miter w14:lim="0"/>
          </w14:textOutline>
        </w:rPr>
      </w:pPr>
    </w:p>
    <w:p w:rsidR="009C5522" w:rsidRPr="00966AE1" w:rsidRDefault="009C5522" w:rsidP="009C5522">
      <w:pPr>
        <w:spacing w:line="264" w:lineRule="auto"/>
        <w:ind w:left="57" w:hanging="23"/>
        <w:jc w:val="both"/>
        <w:rPr>
          <w:color w:val="365F91"/>
          <w:sz w:val="28"/>
          <w:szCs w:val="28"/>
        </w:rPr>
      </w:pPr>
      <w:r w:rsidRPr="00966AE1">
        <w:rPr>
          <w:rFonts w:eastAsia="Calibri"/>
          <w:noProof/>
          <w:color w:val="365F91"/>
          <w:sz w:val="28"/>
          <w:szCs w:val="28"/>
        </w:rPr>
        <w:lastRenderedPageBreak/>
        <w:drawing>
          <wp:inline distT="0" distB="0" distL="0" distR="0" wp14:anchorId="26251020" wp14:editId="76E862CE">
            <wp:extent cx="6408752" cy="2345635"/>
            <wp:effectExtent l="0" t="0" r="0" b="0"/>
            <wp:docPr id="30" name="Объект 2" descr="Точечная сетка"/>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B302F" w:rsidRDefault="003B302F" w:rsidP="009C5522">
      <w:pPr>
        <w:widowControl w:val="0"/>
        <w:spacing w:line="288" w:lineRule="auto"/>
        <w:ind w:firstLine="709"/>
        <w:jc w:val="both"/>
        <w:rPr>
          <w:sz w:val="24"/>
          <w:szCs w:val="24"/>
        </w:rPr>
      </w:pPr>
    </w:p>
    <w:p w:rsidR="001B4421" w:rsidRDefault="001B4421" w:rsidP="009C5522">
      <w:pPr>
        <w:widowControl w:val="0"/>
        <w:spacing w:line="288" w:lineRule="auto"/>
        <w:ind w:firstLine="709"/>
        <w:jc w:val="both"/>
        <w:rPr>
          <w:sz w:val="24"/>
          <w:szCs w:val="24"/>
        </w:rPr>
      </w:pPr>
      <w:r w:rsidRPr="005E1809">
        <w:rPr>
          <w:rFonts w:ascii="Arial" w:hAnsi="Arial" w:cs="Arial"/>
          <w:noProof/>
          <w:sz w:val="2"/>
          <w:szCs w:val="2"/>
        </w:rPr>
        <w:drawing>
          <wp:anchor distT="0" distB="0" distL="114300" distR="114300" simplePos="0" relativeHeight="251727872" behindDoc="0" locked="0" layoutInCell="1" allowOverlap="1" wp14:anchorId="351EA384" wp14:editId="7373D950">
            <wp:simplePos x="0" y="0"/>
            <wp:positionH relativeFrom="column">
              <wp:posOffset>321945</wp:posOffset>
            </wp:positionH>
            <wp:positionV relativeFrom="paragraph">
              <wp:posOffset>594995</wp:posOffset>
            </wp:positionV>
            <wp:extent cx="323850" cy="263525"/>
            <wp:effectExtent l="0" t="0" r="0" b="3175"/>
            <wp:wrapNone/>
            <wp:docPr id="10" name="Рисунок 10" descr="https://im0-tub-ru.yandex.net/i?id=8bd27c56c11c16ad9dfdfd9c5e66515d&amp;n=33&amp;h=190&amp;w=1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DC2">
        <w:rPr>
          <w:sz w:val="24"/>
          <w:szCs w:val="24"/>
        </w:rPr>
        <w:t xml:space="preserve">На </w:t>
      </w:r>
      <w:r w:rsidR="003B302F">
        <w:rPr>
          <w:sz w:val="24"/>
          <w:szCs w:val="24"/>
        </w:rPr>
        <w:t xml:space="preserve">1 января </w:t>
      </w:r>
      <w:r w:rsidR="00447DC2">
        <w:rPr>
          <w:sz w:val="24"/>
          <w:szCs w:val="24"/>
        </w:rPr>
        <w:t xml:space="preserve">2019 года </w:t>
      </w:r>
      <w:r w:rsidR="009C5522" w:rsidRPr="00966AE1">
        <w:rPr>
          <w:sz w:val="24"/>
          <w:szCs w:val="24"/>
        </w:rPr>
        <w:t>численность</w:t>
      </w:r>
      <w:r w:rsidR="00447DC2">
        <w:rPr>
          <w:sz w:val="24"/>
          <w:szCs w:val="24"/>
        </w:rPr>
        <w:t xml:space="preserve"> граждан, имеющих официальный статус безработных, </w:t>
      </w:r>
      <w:r w:rsidR="009C5522" w:rsidRPr="00966AE1">
        <w:rPr>
          <w:sz w:val="24"/>
          <w:szCs w:val="24"/>
        </w:rPr>
        <w:t xml:space="preserve"> </w:t>
      </w:r>
      <w:r w:rsidR="00447DC2">
        <w:rPr>
          <w:sz w:val="24"/>
          <w:szCs w:val="24"/>
        </w:rPr>
        <w:t xml:space="preserve">сократилась </w:t>
      </w:r>
      <w:r w:rsidR="009C5522" w:rsidRPr="00966AE1">
        <w:rPr>
          <w:sz w:val="24"/>
          <w:szCs w:val="24"/>
        </w:rPr>
        <w:t xml:space="preserve">на треть до 422 человек </w:t>
      </w:r>
      <w:r>
        <w:rPr>
          <w:sz w:val="24"/>
          <w:szCs w:val="24"/>
        </w:rPr>
        <w:t>против 652 человек - на начало 2018 года.</w:t>
      </w:r>
      <w:r w:rsidR="009C5522" w:rsidRPr="00966AE1">
        <w:rPr>
          <w:sz w:val="24"/>
          <w:szCs w:val="24"/>
        </w:rPr>
        <w:t xml:space="preserve"> Уровень безработицы (0,19%)</w:t>
      </w:r>
      <w:r>
        <w:rPr>
          <w:sz w:val="24"/>
          <w:szCs w:val="24"/>
        </w:rPr>
        <w:t xml:space="preserve"> кратно ниже аналогичного показателя по Тв</w:t>
      </w:r>
      <w:r w:rsidR="009C5522" w:rsidRPr="00966AE1">
        <w:rPr>
          <w:sz w:val="24"/>
          <w:szCs w:val="24"/>
        </w:rPr>
        <w:t xml:space="preserve">ерской области (0,60%). </w:t>
      </w:r>
    </w:p>
    <w:p w:rsidR="009C5522" w:rsidRDefault="001B4421" w:rsidP="009C5522">
      <w:pPr>
        <w:widowControl w:val="0"/>
        <w:spacing w:line="288" w:lineRule="auto"/>
        <w:ind w:firstLine="709"/>
        <w:jc w:val="both"/>
        <w:rPr>
          <w:sz w:val="24"/>
          <w:szCs w:val="28"/>
          <w:lang w:eastAsia="en-US"/>
        </w:rPr>
      </w:pPr>
      <w:r>
        <w:rPr>
          <w:sz w:val="24"/>
          <w:szCs w:val="24"/>
        </w:rPr>
        <w:t xml:space="preserve">       Город Тверь </w:t>
      </w:r>
      <w:r w:rsidR="00382966">
        <w:rPr>
          <w:sz w:val="24"/>
          <w:szCs w:val="24"/>
        </w:rPr>
        <w:t>разделил</w:t>
      </w:r>
      <w:r>
        <w:rPr>
          <w:sz w:val="24"/>
          <w:szCs w:val="24"/>
        </w:rPr>
        <w:t xml:space="preserve"> </w:t>
      </w:r>
      <w:r w:rsidRPr="00382966">
        <w:rPr>
          <w:b/>
          <w:sz w:val="24"/>
          <w:szCs w:val="24"/>
        </w:rPr>
        <w:t>1 место</w:t>
      </w:r>
      <w:r>
        <w:rPr>
          <w:sz w:val="24"/>
          <w:szCs w:val="24"/>
        </w:rPr>
        <w:t xml:space="preserve"> (вместе с Калугой)</w:t>
      </w:r>
      <w:r w:rsidR="00081473">
        <w:rPr>
          <w:sz w:val="24"/>
          <w:szCs w:val="24"/>
        </w:rPr>
        <w:t xml:space="preserve"> в рейтинге </w:t>
      </w:r>
      <w:r w:rsidRPr="00966AE1">
        <w:rPr>
          <w:sz w:val="24"/>
          <w:szCs w:val="28"/>
          <w:lang w:eastAsia="en-US"/>
        </w:rPr>
        <w:t>16-</w:t>
      </w:r>
      <w:r w:rsidRPr="00966AE1">
        <w:rPr>
          <w:i/>
          <w:sz w:val="24"/>
          <w:szCs w:val="28"/>
          <w:lang w:eastAsia="en-US"/>
        </w:rPr>
        <w:t xml:space="preserve">ти </w:t>
      </w:r>
      <w:r w:rsidRPr="00966AE1">
        <w:rPr>
          <w:sz w:val="24"/>
          <w:szCs w:val="28"/>
          <w:lang w:eastAsia="en-US"/>
        </w:rPr>
        <w:t xml:space="preserve">областных центров </w:t>
      </w:r>
      <w:r w:rsidR="00081473">
        <w:rPr>
          <w:sz w:val="24"/>
          <w:szCs w:val="28"/>
          <w:lang w:eastAsia="en-US"/>
        </w:rPr>
        <w:br/>
        <w:t xml:space="preserve">                  </w:t>
      </w:r>
      <w:r w:rsidRPr="00966AE1">
        <w:rPr>
          <w:sz w:val="24"/>
          <w:szCs w:val="28"/>
          <w:lang w:eastAsia="en-US"/>
        </w:rPr>
        <w:t>Ц</w:t>
      </w:r>
      <w:r>
        <w:rPr>
          <w:sz w:val="24"/>
          <w:szCs w:val="28"/>
          <w:lang w:eastAsia="en-US"/>
        </w:rPr>
        <w:t>ФО</w:t>
      </w:r>
      <w:r w:rsidRPr="00966AE1">
        <w:rPr>
          <w:sz w:val="24"/>
          <w:szCs w:val="28"/>
          <w:lang w:eastAsia="en-US"/>
        </w:rPr>
        <w:t xml:space="preserve"> </w:t>
      </w:r>
      <w:r w:rsidR="009C5522" w:rsidRPr="00966AE1">
        <w:rPr>
          <w:sz w:val="24"/>
          <w:szCs w:val="28"/>
          <w:lang w:eastAsia="en-US"/>
        </w:rPr>
        <w:t>по</w:t>
      </w:r>
      <w:r w:rsidR="00081473">
        <w:rPr>
          <w:sz w:val="24"/>
          <w:szCs w:val="28"/>
          <w:lang w:eastAsia="en-US"/>
        </w:rPr>
        <w:t xml:space="preserve"> двум основным критериям рынка труда</w:t>
      </w:r>
      <w:r w:rsidR="00382966" w:rsidRPr="00382966">
        <w:rPr>
          <w:sz w:val="24"/>
          <w:szCs w:val="28"/>
          <w:lang w:eastAsia="en-US"/>
        </w:rPr>
        <w:t>:</w:t>
      </w:r>
      <w:r w:rsidR="00081473">
        <w:rPr>
          <w:sz w:val="24"/>
          <w:szCs w:val="28"/>
          <w:lang w:eastAsia="en-US"/>
        </w:rPr>
        <w:t xml:space="preserve"> </w:t>
      </w:r>
      <w:r w:rsidR="00081473" w:rsidRPr="00966AE1">
        <w:rPr>
          <w:sz w:val="24"/>
          <w:szCs w:val="28"/>
          <w:lang w:eastAsia="en-US"/>
        </w:rPr>
        <w:t xml:space="preserve">минимальной численности </w:t>
      </w:r>
      <w:r w:rsidR="005746F1">
        <w:rPr>
          <w:sz w:val="24"/>
          <w:szCs w:val="28"/>
          <w:lang w:eastAsia="en-US"/>
        </w:rPr>
        <w:br/>
        <w:t xml:space="preserve">                  </w:t>
      </w:r>
      <w:r w:rsidR="00081473" w:rsidRPr="00966AE1">
        <w:rPr>
          <w:sz w:val="24"/>
          <w:szCs w:val="28"/>
          <w:lang w:eastAsia="en-US"/>
        </w:rPr>
        <w:t>безработных граждан</w:t>
      </w:r>
      <w:r w:rsidR="00081473">
        <w:rPr>
          <w:sz w:val="24"/>
          <w:szCs w:val="28"/>
          <w:lang w:eastAsia="en-US"/>
        </w:rPr>
        <w:t xml:space="preserve"> и самому</w:t>
      </w:r>
      <w:r w:rsidR="009C5522" w:rsidRPr="00966AE1">
        <w:rPr>
          <w:sz w:val="24"/>
          <w:szCs w:val="28"/>
          <w:lang w:eastAsia="en-US"/>
        </w:rPr>
        <w:t xml:space="preserve"> низкому </w:t>
      </w:r>
      <w:r w:rsidR="00081473">
        <w:rPr>
          <w:sz w:val="24"/>
          <w:szCs w:val="28"/>
          <w:lang w:eastAsia="en-US"/>
        </w:rPr>
        <w:t xml:space="preserve">значению </w:t>
      </w:r>
      <w:r w:rsidR="009C5522" w:rsidRPr="00966AE1">
        <w:rPr>
          <w:sz w:val="24"/>
          <w:szCs w:val="28"/>
          <w:lang w:eastAsia="en-US"/>
        </w:rPr>
        <w:t>уровн</w:t>
      </w:r>
      <w:r w:rsidR="005746F1">
        <w:rPr>
          <w:sz w:val="24"/>
          <w:szCs w:val="28"/>
          <w:lang w:eastAsia="en-US"/>
        </w:rPr>
        <w:t>я</w:t>
      </w:r>
      <w:r w:rsidR="009C5522" w:rsidRPr="00966AE1">
        <w:rPr>
          <w:sz w:val="24"/>
          <w:szCs w:val="28"/>
          <w:lang w:eastAsia="en-US"/>
        </w:rPr>
        <w:t xml:space="preserve"> безработицы.</w:t>
      </w:r>
    </w:p>
    <w:p w:rsidR="009C5522" w:rsidRDefault="009C5522" w:rsidP="009C5522">
      <w:pPr>
        <w:widowControl w:val="0"/>
        <w:spacing w:line="288" w:lineRule="auto"/>
        <w:jc w:val="both"/>
        <w:rPr>
          <w:sz w:val="24"/>
          <w:szCs w:val="28"/>
          <w:lang w:eastAsia="en-US"/>
        </w:rPr>
      </w:pPr>
      <w:r w:rsidRPr="00EF78C0">
        <w:rPr>
          <w:rFonts w:eastAsia="Calibri"/>
          <w:noProof/>
          <w:color w:val="003399"/>
          <w:sz w:val="24"/>
          <w:szCs w:val="24"/>
        </w:rPr>
        <w:drawing>
          <wp:inline distT="0" distB="0" distL="0" distR="0" wp14:anchorId="5D539892" wp14:editId="6B110349">
            <wp:extent cx="6448508" cy="3267986"/>
            <wp:effectExtent l="0" t="0" r="0" b="0"/>
            <wp:docPr id="39" name="Диаграм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af1"/>
        <w:tblW w:w="10206" w:type="dxa"/>
        <w:tblInd w:w="108" w:type="dxa"/>
        <w:tblLook w:val="04A0" w:firstRow="1" w:lastRow="0" w:firstColumn="1" w:lastColumn="0" w:noHBand="0" w:noVBand="1"/>
      </w:tblPr>
      <w:tblGrid>
        <w:gridCol w:w="850"/>
        <w:gridCol w:w="851"/>
        <w:gridCol w:w="850"/>
        <w:gridCol w:w="851"/>
        <w:gridCol w:w="850"/>
        <w:gridCol w:w="851"/>
        <w:gridCol w:w="850"/>
        <w:gridCol w:w="851"/>
        <w:gridCol w:w="850"/>
        <w:gridCol w:w="851"/>
        <w:gridCol w:w="850"/>
        <w:gridCol w:w="851"/>
      </w:tblGrid>
      <w:tr w:rsidR="0014679D" w:rsidRPr="00D956AE" w:rsidTr="0014679D">
        <w:tc>
          <w:tcPr>
            <w:tcW w:w="10206" w:type="dxa"/>
            <w:gridSpan w:val="12"/>
          </w:tcPr>
          <w:p w:rsidR="0014679D" w:rsidRPr="00D956AE" w:rsidRDefault="0014679D" w:rsidP="0014679D">
            <w:pPr>
              <w:widowControl w:val="0"/>
              <w:spacing w:before="40" w:after="40"/>
              <w:jc w:val="center"/>
              <w:rPr>
                <w:rFonts w:eastAsia="Calibri"/>
                <w:i/>
                <w:sz w:val="24"/>
                <w:szCs w:val="26"/>
              </w:rPr>
            </w:pPr>
            <w:r w:rsidRPr="00D956AE">
              <w:rPr>
                <w:rFonts w:eastAsia="Calibri"/>
                <w:i/>
                <w:sz w:val="24"/>
                <w:szCs w:val="26"/>
              </w:rPr>
              <w:t>Динамика численности официально зарегистрированных безработных на 1 января, человек</w:t>
            </w:r>
          </w:p>
        </w:tc>
      </w:tr>
      <w:tr w:rsidR="0014679D" w:rsidRPr="00966AE1" w:rsidTr="0014679D">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2008</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2009</w:t>
            </w:r>
          </w:p>
        </w:tc>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2010</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2011</w:t>
            </w:r>
          </w:p>
        </w:tc>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2012</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2013</w:t>
            </w:r>
          </w:p>
        </w:tc>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2014</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2015</w:t>
            </w:r>
          </w:p>
        </w:tc>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2016</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2017</w:t>
            </w:r>
          </w:p>
        </w:tc>
        <w:tc>
          <w:tcPr>
            <w:tcW w:w="850"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2018</w:t>
            </w:r>
          </w:p>
        </w:tc>
        <w:tc>
          <w:tcPr>
            <w:tcW w:w="851" w:type="dxa"/>
            <w:tcBorders>
              <w:bottom w:val="single" w:sz="4" w:space="0" w:color="auto"/>
            </w:tcBorders>
          </w:tcPr>
          <w:p w:rsidR="0014679D" w:rsidRPr="00966AE1" w:rsidRDefault="0014679D" w:rsidP="0014679D">
            <w:pPr>
              <w:widowControl w:val="0"/>
              <w:jc w:val="center"/>
              <w:rPr>
                <w:rFonts w:eastAsia="Calibri"/>
                <w:szCs w:val="26"/>
              </w:rPr>
            </w:pPr>
            <w:r w:rsidRPr="00966AE1">
              <w:rPr>
                <w:rFonts w:eastAsia="Calibri"/>
                <w:szCs w:val="26"/>
              </w:rPr>
              <w:t>2019</w:t>
            </w:r>
          </w:p>
        </w:tc>
      </w:tr>
      <w:tr w:rsidR="0014679D" w:rsidRPr="00966AE1" w:rsidTr="0014679D">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729</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958</w:t>
            </w:r>
          </w:p>
        </w:tc>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3182</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1600</w:t>
            </w:r>
          </w:p>
        </w:tc>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1376</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967</w:t>
            </w:r>
          </w:p>
        </w:tc>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822</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1027</w:t>
            </w:r>
          </w:p>
        </w:tc>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1537</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1275</w:t>
            </w:r>
          </w:p>
        </w:tc>
        <w:tc>
          <w:tcPr>
            <w:tcW w:w="850"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652</w:t>
            </w:r>
          </w:p>
        </w:tc>
        <w:tc>
          <w:tcPr>
            <w:tcW w:w="851" w:type="dxa"/>
            <w:shd w:val="clear" w:color="auto" w:fill="DBE5F1" w:themeFill="accent1" w:themeFillTint="33"/>
          </w:tcPr>
          <w:p w:rsidR="0014679D" w:rsidRPr="00966AE1" w:rsidRDefault="0014679D" w:rsidP="0014679D">
            <w:pPr>
              <w:widowControl w:val="0"/>
              <w:jc w:val="center"/>
              <w:rPr>
                <w:rFonts w:eastAsia="Calibri"/>
                <w:b/>
                <w:sz w:val="24"/>
                <w:szCs w:val="26"/>
              </w:rPr>
            </w:pPr>
            <w:r w:rsidRPr="00966AE1">
              <w:rPr>
                <w:rFonts w:eastAsia="Calibri"/>
                <w:b/>
                <w:sz w:val="24"/>
                <w:szCs w:val="26"/>
              </w:rPr>
              <w:t>422</w:t>
            </w:r>
          </w:p>
        </w:tc>
      </w:tr>
    </w:tbl>
    <w:p w:rsidR="0014679D" w:rsidRPr="0014679D" w:rsidRDefault="0014679D" w:rsidP="009C5522">
      <w:pPr>
        <w:widowControl w:val="0"/>
        <w:spacing w:line="288" w:lineRule="auto"/>
        <w:ind w:firstLine="709"/>
        <w:jc w:val="both"/>
        <w:rPr>
          <w:sz w:val="18"/>
          <w:szCs w:val="28"/>
          <w:lang w:eastAsia="en-US"/>
        </w:rPr>
      </w:pPr>
    </w:p>
    <w:p w:rsidR="009C5522" w:rsidRDefault="0014679D" w:rsidP="009C5522">
      <w:pPr>
        <w:widowControl w:val="0"/>
        <w:spacing w:line="288" w:lineRule="auto"/>
        <w:ind w:firstLine="709"/>
        <w:jc w:val="both"/>
        <w:rPr>
          <w:sz w:val="24"/>
          <w:szCs w:val="28"/>
          <w:lang w:eastAsia="en-US"/>
        </w:rPr>
      </w:pPr>
      <w:r>
        <w:rPr>
          <w:sz w:val="24"/>
          <w:szCs w:val="28"/>
          <w:lang w:eastAsia="en-US"/>
        </w:rPr>
        <w:t>Н</w:t>
      </w:r>
      <w:r w:rsidRPr="00CE78C1">
        <w:rPr>
          <w:sz w:val="24"/>
          <w:szCs w:val="28"/>
          <w:lang w:eastAsia="en-US"/>
        </w:rPr>
        <w:t xml:space="preserve">а 1 января </w:t>
      </w:r>
      <w:proofErr w:type="spellStart"/>
      <w:r w:rsidR="003B302F">
        <w:rPr>
          <w:sz w:val="24"/>
          <w:szCs w:val="28"/>
          <w:lang w:eastAsia="en-US"/>
        </w:rPr>
        <w:t>т.г</w:t>
      </w:r>
      <w:proofErr w:type="spellEnd"/>
      <w:r w:rsidR="003B302F">
        <w:rPr>
          <w:sz w:val="24"/>
          <w:szCs w:val="28"/>
          <w:lang w:eastAsia="en-US"/>
        </w:rPr>
        <w:t>.</w:t>
      </w:r>
      <w:r w:rsidRPr="00CE78C1">
        <w:rPr>
          <w:sz w:val="24"/>
          <w:szCs w:val="28"/>
          <w:lang w:eastAsia="en-US"/>
        </w:rPr>
        <w:t xml:space="preserve"> в банке вакансий </w:t>
      </w:r>
      <w:r>
        <w:rPr>
          <w:sz w:val="24"/>
          <w:szCs w:val="28"/>
          <w:lang w:eastAsia="en-US"/>
        </w:rPr>
        <w:t xml:space="preserve">было размещено </w:t>
      </w:r>
      <w:r w:rsidRPr="00CE78C1">
        <w:rPr>
          <w:sz w:val="24"/>
          <w:szCs w:val="28"/>
          <w:lang w:eastAsia="en-US"/>
        </w:rPr>
        <w:t>6,4 тыс. заявок для трудоустройства граждан</w:t>
      </w:r>
      <w:r>
        <w:rPr>
          <w:sz w:val="24"/>
          <w:szCs w:val="28"/>
          <w:lang w:eastAsia="en-US"/>
        </w:rPr>
        <w:t xml:space="preserve"> с п</w:t>
      </w:r>
      <w:r w:rsidRPr="00CE78C1">
        <w:rPr>
          <w:sz w:val="24"/>
          <w:szCs w:val="28"/>
          <w:lang w:eastAsia="en-US"/>
        </w:rPr>
        <w:t>реоблада</w:t>
      </w:r>
      <w:r>
        <w:rPr>
          <w:sz w:val="24"/>
          <w:szCs w:val="28"/>
          <w:lang w:eastAsia="en-US"/>
        </w:rPr>
        <w:t xml:space="preserve">ющим спросом на </w:t>
      </w:r>
      <w:r w:rsidRPr="00CE78C1">
        <w:rPr>
          <w:sz w:val="24"/>
          <w:szCs w:val="28"/>
          <w:lang w:eastAsia="en-US"/>
        </w:rPr>
        <w:t xml:space="preserve">рабочие профессии (63% всей заявленной потребности). </w:t>
      </w:r>
      <w:r w:rsidRPr="00CE78C1">
        <w:rPr>
          <w:sz w:val="24"/>
          <w:szCs w:val="28"/>
        </w:rPr>
        <w:t>Вместе с тем город испытывает потребность в специалистах среднего медицинского персонала здравоохранения</w:t>
      </w:r>
      <w:r w:rsidRPr="00CE78C1">
        <w:rPr>
          <w:sz w:val="24"/>
          <w:szCs w:val="28"/>
          <w:lang w:eastAsia="en-US"/>
        </w:rPr>
        <w:t xml:space="preserve">, </w:t>
      </w:r>
      <w:r w:rsidRPr="00CE78C1">
        <w:rPr>
          <w:sz w:val="24"/>
          <w:szCs w:val="28"/>
        </w:rPr>
        <w:t>врачах, педагогических работниках</w:t>
      </w:r>
      <w:r w:rsidRPr="00CE78C1">
        <w:rPr>
          <w:sz w:val="24"/>
          <w:szCs w:val="28"/>
          <w:lang w:eastAsia="en-US"/>
        </w:rPr>
        <w:t xml:space="preserve"> </w:t>
      </w:r>
      <w:r w:rsidRPr="00CE78C1">
        <w:rPr>
          <w:sz w:val="24"/>
          <w:szCs w:val="28"/>
        </w:rPr>
        <w:t>средних школ</w:t>
      </w:r>
      <w:r w:rsidRPr="00CE78C1">
        <w:rPr>
          <w:sz w:val="24"/>
          <w:szCs w:val="28"/>
          <w:lang w:eastAsia="en-US"/>
        </w:rPr>
        <w:t>, начального и дошкольного образования.</w:t>
      </w:r>
    </w:p>
    <w:p w:rsidR="00FE3330" w:rsidRPr="004A58F1" w:rsidRDefault="003B302F" w:rsidP="00FE3330">
      <w:pPr>
        <w:spacing w:line="312" w:lineRule="auto"/>
        <w:ind w:firstLine="709"/>
        <w:jc w:val="both"/>
        <w:rPr>
          <w:rFonts w:eastAsia="Batang"/>
          <w:sz w:val="12"/>
          <w:szCs w:val="24"/>
          <w14:textOutline w14:w="0" w14:cap="rnd" w14:cmpd="sng" w14:algn="ctr">
            <w14:noFill/>
            <w14:prstDash w14:val="solid"/>
            <w14:miter w14:lim="0"/>
          </w14:textOutline>
        </w:rPr>
      </w:pPr>
      <w:r>
        <w:rPr>
          <w:rFonts w:eastAsia="Batang"/>
          <w:sz w:val="24"/>
          <w14:textOutline w14:w="0" w14:cap="rnd" w14:cmpd="sng" w14:algn="ctr">
            <w14:noFill/>
            <w14:prstDash w14:val="solid"/>
            <w14:miter w14:lim="0"/>
          </w14:textOutline>
        </w:rPr>
        <w:lastRenderedPageBreak/>
        <w:t xml:space="preserve">В 2019 году ситуация на рынке труда города Твери не имела негативных тенденций. </w:t>
      </w:r>
      <w:r>
        <w:rPr>
          <w:rFonts w:eastAsia="Batang"/>
          <w:sz w:val="24"/>
          <w14:textOutline w14:w="0" w14:cap="rnd" w14:cmpd="sng" w14:algn="ctr">
            <w14:noFill/>
            <w14:prstDash w14:val="solid"/>
            <w14:miter w14:lim="0"/>
          </w14:textOutline>
        </w:rPr>
        <w:br/>
        <w:t xml:space="preserve">К началу сентября </w:t>
      </w:r>
      <w:proofErr w:type="spellStart"/>
      <w:r>
        <w:rPr>
          <w:rFonts w:eastAsia="Batang"/>
          <w:sz w:val="24"/>
          <w14:textOutline w14:w="0" w14:cap="rnd" w14:cmpd="sng" w14:algn="ctr">
            <w14:noFill/>
            <w14:prstDash w14:val="solid"/>
            <w14:miter w14:lim="0"/>
          </w14:textOutline>
        </w:rPr>
        <w:t>т.г</w:t>
      </w:r>
      <w:proofErr w:type="spellEnd"/>
      <w:r>
        <w:rPr>
          <w:rFonts w:eastAsia="Batang"/>
          <w:sz w:val="24"/>
          <w14:textOutline w14:w="0" w14:cap="rnd" w14:cmpd="sng" w14:algn="ctr">
            <w14:noFill/>
            <w14:prstDash w14:val="solid"/>
            <w14:miter w14:lim="0"/>
          </w14:textOutline>
        </w:rPr>
        <w:t xml:space="preserve">. </w:t>
      </w:r>
      <w:r w:rsidR="00FE3330" w:rsidRPr="004A58F1">
        <w:rPr>
          <w:rFonts w:eastAsia="Batang"/>
          <w:sz w:val="24"/>
          <w14:textOutline w14:w="0" w14:cap="rnd" w14:cmpd="sng" w14:algn="ctr">
            <w14:noFill/>
            <w14:prstDash w14:val="solid"/>
            <w14:miter w14:lim="0"/>
          </w14:textOutline>
        </w:rPr>
        <w:t>в режиме неполной занятости оста</w:t>
      </w:r>
      <w:r w:rsidR="00FE3330">
        <w:rPr>
          <w:rFonts w:eastAsia="Batang"/>
          <w:sz w:val="24"/>
          <w14:textOutline w14:w="0" w14:cap="rnd" w14:cmpd="sng" w14:algn="ctr">
            <w14:noFill/>
            <w14:prstDash w14:val="solid"/>
            <w14:miter w14:lim="0"/>
          </w14:textOutline>
        </w:rPr>
        <w:t>лись</w:t>
      </w:r>
      <w:r w:rsidR="00FE3330" w:rsidRPr="004A58F1">
        <w:rPr>
          <w:rFonts w:eastAsia="Batang"/>
          <w:sz w:val="24"/>
          <w14:textOutline w14:w="0" w14:cap="rnd" w14:cmpd="sng" w14:algn="ctr">
            <w14:noFill/>
            <w14:prstDash w14:val="solid"/>
            <w14:miter w14:lim="0"/>
          </w14:textOutline>
        </w:rPr>
        <w:t xml:space="preserve"> 6 организаций города Твери с численностью 200 работников. </w:t>
      </w:r>
      <w:r w:rsidR="00FE3330">
        <w:rPr>
          <w:rFonts w:eastAsia="Batang"/>
          <w:sz w:val="24"/>
          <w14:textOutline w14:w="0" w14:cap="rnd" w14:cmpd="sng" w14:algn="ctr">
            <w14:noFill/>
            <w14:prstDash w14:val="solid"/>
            <w14:miter w14:lim="0"/>
          </w14:textOutline>
        </w:rPr>
        <w:t xml:space="preserve">По сравнению с началом </w:t>
      </w:r>
      <w:r>
        <w:rPr>
          <w:rFonts w:eastAsia="Batang"/>
          <w:sz w:val="24"/>
          <w14:textOutline w14:w="0" w14:cap="rnd" w14:cmpd="sng" w14:algn="ctr">
            <w14:noFill/>
            <w14:prstDash w14:val="solid"/>
            <w14:miter w14:lim="0"/>
          </w14:textOutline>
        </w:rPr>
        <w:t>2019 года</w:t>
      </w:r>
      <w:r w:rsidR="00FE3330" w:rsidRPr="004A58F1">
        <w:rPr>
          <w:rFonts w:eastAsia="Batang"/>
          <w:sz w:val="24"/>
          <w14:textOutline w14:w="0" w14:cap="rnd" w14:cmpd="sng" w14:algn="ctr">
            <w14:noFill/>
            <w14:prstDash w14:val="solid"/>
            <w14:miter w14:lim="0"/>
          </w14:textOutline>
        </w:rPr>
        <w:t xml:space="preserve"> количество организаций сократилось в 2 раза, численность работников – в 1,8 </w:t>
      </w:r>
      <w:r w:rsidR="00FE3330" w:rsidRPr="004A58F1">
        <w:rPr>
          <w:rFonts w:eastAsia="Batang"/>
          <w:sz w:val="24"/>
          <w:szCs w:val="28"/>
          <w14:textOutline w14:w="0" w14:cap="rnd" w14:cmpd="sng" w14:algn="ctr">
            <w14:noFill/>
            <w14:prstDash w14:val="solid"/>
            <w14:miter w14:lim="0"/>
          </w14:textOutline>
        </w:rPr>
        <w:t xml:space="preserve">раза. </w:t>
      </w:r>
      <w:r w:rsidR="00FE3330">
        <w:rPr>
          <w:rFonts w:eastAsia="Batang"/>
          <w:sz w:val="24"/>
          <w:szCs w:val="28"/>
          <w14:textOutline w14:w="0" w14:cap="rnd" w14:cmpd="sng" w14:algn="ctr">
            <w14:noFill/>
            <w14:prstDash w14:val="solid"/>
            <w14:miter w14:lim="0"/>
          </w14:textOutline>
        </w:rPr>
        <w:t xml:space="preserve">Фактически высвобождено  </w:t>
      </w:r>
      <w:r w:rsidR="00FE3330" w:rsidRPr="004A58F1">
        <w:rPr>
          <w:rFonts w:eastAsia="Batang"/>
          <w:sz w:val="24"/>
          <w:szCs w:val="28"/>
          <w14:textOutline w14:w="0" w14:cap="rnd" w14:cmpd="sng" w14:algn="ctr">
            <w14:noFill/>
            <w14:prstDash w14:val="solid"/>
            <w14:miter w14:lim="0"/>
          </w14:textOutline>
        </w:rPr>
        <w:t>хозяйствующи</w:t>
      </w:r>
      <w:r w:rsidR="00FE3330">
        <w:rPr>
          <w:rFonts w:eastAsia="Batang"/>
          <w:sz w:val="24"/>
          <w:szCs w:val="28"/>
          <w14:textOutline w14:w="0" w14:cap="rnd" w14:cmpd="sng" w14:algn="ctr">
            <w14:noFill/>
            <w14:prstDash w14:val="solid"/>
            <w14:miter w14:lim="0"/>
          </w14:textOutline>
        </w:rPr>
        <w:t>ми</w:t>
      </w:r>
      <w:r w:rsidR="00FE3330" w:rsidRPr="004A58F1">
        <w:rPr>
          <w:rFonts w:eastAsia="Batang"/>
          <w:sz w:val="24"/>
          <w14:textOutline w14:w="0" w14:cap="rnd" w14:cmpd="sng" w14:algn="ctr">
            <w14:noFill/>
            <w14:prstDash w14:val="solid"/>
            <w14:miter w14:lim="0"/>
          </w14:textOutline>
        </w:rPr>
        <w:t xml:space="preserve"> </w:t>
      </w:r>
      <w:r w:rsidR="00FE3330">
        <w:rPr>
          <w:rFonts w:eastAsia="Batang"/>
          <w:sz w:val="24"/>
          <w14:textOutline w14:w="0" w14:cap="rnd" w14:cmpd="sng" w14:algn="ctr">
            <w14:noFill/>
            <w14:prstDash w14:val="solid"/>
            <w14:miter w14:lim="0"/>
          </w14:textOutline>
        </w:rPr>
        <w:t>субъектами</w:t>
      </w:r>
      <w:r w:rsidR="00FE3330" w:rsidRPr="004A58F1">
        <w:rPr>
          <w:rFonts w:eastAsia="Batang"/>
          <w:sz w:val="24"/>
          <w14:textOutline w14:w="0" w14:cap="rnd" w14:cmpd="sng" w14:algn="ctr">
            <w14:noFill/>
            <w14:prstDash w14:val="solid"/>
            <w14:miter w14:lim="0"/>
          </w14:textOutline>
        </w:rPr>
        <w:t xml:space="preserve"> города Твери </w:t>
      </w:r>
      <w:r w:rsidR="00FE3330" w:rsidRPr="004A58F1">
        <w:rPr>
          <w:rFonts w:eastAsia="Batang"/>
          <w:sz w:val="24"/>
          <w:szCs w:val="28"/>
          <w14:textOutline w14:w="0" w14:cap="rnd" w14:cmpd="sng" w14:algn="ctr">
            <w14:noFill/>
            <w14:prstDash w14:val="solid"/>
            <w14:miter w14:lim="0"/>
          </w14:textOutline>
        </w:rPr>
        <w:t>442 работника</w:t>
      </w:r>
      <w:r w:rsidR="00FE3330" w:rsidRPr="004A58F1">
        <w:rPr>
          <w:rFonts w:eastAsia="Batang"/>
          <w:i/>
          <w:sz w:val="24"/>
          <w:szCs w:val="26"/>
          <w14:textOutline w14:w="0" w14:cap="rnd" w14:cmpd="sng" w14:algn="ctr">
            <w14:noFill/>
            <w14:prstDash w14:val="solid"/>
            <w14:miter w14:lim="0"/>
          </w14:textOutline>
        </w:rPr>
        <w:t>.</w:t>
      </w:r>
    </w:p>
    <w:p w:rsidR="00FE3330" w:rsidRPr="004A58F1" w:rsidRDefault="00FE3330" w:rsidP="00FE3330">
      <w:pPr>
        <w:spacing w:line="288" w:lineRule="auto"/>
        <w:ind w:left="57" w:firstLine="652"/>
        <w:jc w:val="both"/>
        <w:rPr>
          <w:rFonts w:eastAsia="Batang"/>
          <w:sz w:val="24"/>
          <w:szCs w:val="28"/>
          <w14:textOutline w14:w="0" w14:cap="rnd" w14:cmpd="sng" w14:algn="ctr">
            <w14:noFill/>
            <w14:prstDash w14:val="solid"/>
            <w14:miter w14:lim="0"/>
          </w14:textOutline>
        </w:rPr>
      </w:pPr>
      <w:r w:rsidRPr="004A58F1">
        <w:rPr>
          <w:sz w:val="24"/>
          <w:szCs w:val="28"/>
        </w:rPr>
        <w:t>У</w:t>
      </w:r>
      <w:r w:rsidRPr="004A58F1">
        <w:rPr>
          <w:sz w:val="24"/>
          <w:szCs w:val="26"/>
        </w:rPr>
        <w:t xml:space="preserve">ровень безработицы </w:t>
      </w:r>
      <w:r>
        <w:rPr>
          <w:sz w:val="24"/>
          <w:szCs w:val="26"/>
        </w:rPr>
        <w:t xml:space="preserve">в городе Твери </w:t>
      </w:r>
      <w:r w:rsidRPr="004A58F1">
        <w:rPr>
          <w:sz w:val="24"/>
          <w:szCs w:val="26"/>
        </w:rPr>
        <w:t xml:space="preserve">(0,24%) </w:t>
      </w:r>
      <w:r>
        <w:rPr>
          <w:sz w:val="24"/>
          <w:szCs w:val="26"/>
        </w:rPr>
        <w:t>и</w:t>
      </w:r>
      <w:r w:rsidRPr="004A58F1">
        <w:rPr>
          <w:sz w:val="24"/>
          <w:szCs w:val="26"/>
        </w:rPr>
        <w:t xml:space="preserve">меет </w:t>
      </w:r>
      <w:r>
        <w:rPr>
          <w:sz w:val="24"/>
          <w:szCs w:val="26"/>
        </w:rPr>
        <w:t xml:space="preserve">самое низкое </w:t>
      </w:r>
      <w:r w:rsidRPr="004A58F1">
        <w:rPr>
          <w:sz w:val="24"/>
          <w:szCs w:val="26"/>
        </w:rPr>
        <w:t>значени</w:t>
      </w:r>
      <w:r>
        <w:rPr>
          <w:sz w:val="24"/>
          <w:szCs w:val="26"/>
        </w:rPr>
        <w:t>е</w:t>
      </w:r>
      <w:r w:rsidRPr="004A58F1">
        <w:rPr>
          <w:sz w:val="24"/>
          <w:szCs w:val="26"/>
        </w:rPr>
        <w:t xml:space="preserve"> в Тверской области</w:t>
      </w:r>
      <w:r>
        <w:rPr>
          <w:sz w:val="24"/>
          <w:szCs w:val="26"/>
        </w:rPr>
        <w:t>.</w:t>
      </w:r>
      <w:r w:rsidRPr="004A58F1">
        <w:rPr>
          <w:sz w:val="24"/>
          <w:szCs w:val="26"/>
        </w:rPr>
        <w:t xml:space="preserve"> </w:t>
      </w:r>
      <w:r w:rsidRPr="004A58F1">
        <w:rPr>
          <w:sz w:val="24"/>
          <w:szCs w:val="28"/>
        </w:rPr>
        <w:t xml:space="preserve">Официальный статус безработных </w:t>
      </w:r>
      <w:r>
        <w:rPr>
          <w:sz w:val="24"/>
          <w:szCs w:val="28"/>
        </w:rPr>
        <w:t>у</w:t>
      </w:r>
      <w:r w:rsidRPr="004A58F1">
        <w:rPr>
          <w:sz w:val="24"/>
          <w:szCs w:val="26"/>
        </w:rPr>
        <w:t xml:space="preserve"> 535</w:t>
      </w:r>
      <w:r w:rsidRPr="004A58F1">
        <w:rPr>
          <w:sz w:val="24"/>
          <w:szCs w:val="28"/>
        </w:rPr>
        <w:t xml:space="preserve"> г</w:t>
      </w:r>
      <w:r>
        <w:rPr>
          <w:sz w:val="24"/>
          <w:szCs w:val="28"/>
        </w:rPr>
        <w:t>орожан</w:t>
      </w:r>
      <w:r w:rsidRPr="004A58F1">
        <w:rPr>
          <w:sz w:val="24"/>
          <w:szCs w:val="28"/>
        </w:rPr>
        <w:t>,</w:t>
      </w:r>
      <w:r>
        <w:rPr>
          <w:sz w:val="24"/>
          <w:szCs w:val="28"/>
        </w:rPr>
        <w:t xml:space="preserve"> из них пособие по безработице </w:t>
      </w:r>
      <w:r w:rsidRPr="004A58F1">
        <w:rPr>
          <w:sz w:val="24"/>
          <w:szCs w:val="28"/>
        </w:rPr>
        <w:t>получает</w:t>
      </w:r>
      <w:r>
        <w:rPr>
          <w:sz w:val="24"/>
          <w:szCs w:val="28"/>
        </w:rPr>
        <w:t xml:space="preserve"> 431 безработный</w:t>
      </w:r>
      <w:r w:rsidRPr="004A58F1">
        <w:rPr>
          <w:sz w:val="24"/>
          <w:szCs w:val="28"/>
        </w:rPr>
        <w:t xml:space="preserve">. </w:t>
      </w:r>
    </w:p>
    <w:p w:rsidR="00FE3330" w:rsidRDefault="00FE3330" w:rsidP="00FE3330">
      <w:pPr>
        <w:widowControl w:val="0"/>
        <w:tabs>
          <w:tab w:val="left" w:pos="6521"/>
        </w:tabs>
        <w:spacing w:line="288" w:lineRule="auto"/>
        <w:ind w:firstLine="709"/>
        <w:jc w:val="both"/>
        <w:rPr>
          <w:sz w:val="24"/>
          <w:szCs w:val="24"/>
        </w:rPr>
      </w:pPr>
      <w:r w:rsidRPr="00966AE1">
        <w:rPr>
          <w:sz w:val="24"/>
          <w:szCs w:val="24"/>
        </w:rPr>
        <w:t xml:space="preserve">Количественный рост вакансий не решает проблемы «дисбаланса» профессий, когда спрос на специальности и занятие трудом не соответствует предлагаемому рынку профессий. Несовпадение между квалификацией безработных и имеющимися свободными рабочими местами влечет за собой структурную безработицу. </w:t>
      </w:r>
    </w:p>
    <w:p w:rsidR="00FE3330" w:rsidRDefault="00FE3330" w:rsidP="00FE3330">
      <w:pPr>
        <w:widowControl w:val="0"/>
        <w:tabs>
          <w:tab w:val="left" w:pos="6521"/>
        </w:tabs>
        <w:spacing w:line="288" w:lineRule="auto"/>
        <w:ind w:firstLine="709"/>
        <w:jc w:val="both"/>
        <w:rPr>
          <w:sz w:val="24"/>
          <w:szCs w:val="24"/>
        </w:rPr>
      </w:pPr>
      <w:r w:rsidRPr="00966AE1">
        <w:rPr>
          <w:sz w:val="24"/>
          <w:szCs w:val="24"/>
        </w:rPr>
        <w:t xml:space="preserve">Данное явление объясняется перестройкой экономики, </w:t>
      </w:r>
      <w:r>
        <w:rPr>
          <w:sz w:val="24"/>
          <w:szCs w:val="24"/>
        </w:rPr>
        <w:t xml:space="preserve">введением новых технологий производства, </w:t>
      </w:r>
      <w:r w:rsidRPr="00966AE1">
        <w:rPr>
          <w:sz w:val="24"/>
          <w:szCs w:val="24"/>
        </w:rPr>
        <w:t>ликвидацией устаревших профессий</w:t>
      </w:r>
      <w:r>
        <w:rPr>
          <w:sz w:val="24"/>
          <w:szCs w:val="24"/>
        </w:rPr>
        <w:t xml:space="preserve"> и специальностей, оптимизацией численности работников</w:t>
      </w:r>
      <w:r w:rsidRPr="00966AE1">
        <w:rPr>
          <w:sz w:val="24"/>
          <w:szCs w:val="24"/>
        </w:rPr>
        <w:t xml:space="preserve">. </w:t>
      </w:r>
    </w:p>
    <w:p w:rsidR="00FE3330" w:rsidRDefault="00FE3330" w:rsidP="00FE3330">
      <w:pPr>
        <w:widowControl w:val="0"/>
        <w:tabs>
          <w:tab w:val="left" w:pos="6521"/>
        </w:tabs>
        <w:spacing w:line="288" w:lineRule="auto"/>
        <w:ind w:firstLine="709"/>
        <w:jc w:val="both"/>
        <w:rPr>
          <w:sz w:val="24"/>
          <w:szCs w:val="24"/>
        </w:rPr>
      </w:pPr>
      <w:r>
        <w:rPr>
          <w:sz w:val="24"/>
          <w:szCs w:val="24"/>
        </w:rPr>
        <w:t xml:space="preserve">Помимо структурной безработицы, определенное влияние на изменение численности безработных граждан оказывают жители муниципальных образований Тверской области и других регионов страны, незанятые трудовой деятельностью по прежнему месту жительства, и прибывающие в Тверь в поисках новой работы. </w:t>
      </w:r>
      <w:r w:rsidRPr="00966AE1">
        <w:rPr>
          <w:sz w:val="24"/>
          <w:szCs w:val="24"/>
        </w:rPr>
        <w:t xml:space="preserve"> </w:t>
      </w:r>
    </w:p>
    <w:p w:rsidR="00FE3330" w:rsidRDefault="00FE3330" w:rsidP="00FE3330">
      <w:pPr>
        <w:spacing w:line="216" w:lineRule="auto"/>
        <w:jc w:val="center"/>
        <w:rPr>
          <w:b/>
          <w:i/>
          <w:sz w:val="24"/>
          <w:szCs w:val="25"/>
        </w:rPr>
      </w:pPr>
    </w:p>
    <w:p w:rsidR="00FE3330" w:rsidRPr="002658C1" w:rsidRDefault="00FE3330" w:rsidP="00FE3330">
      <w:pPr>
        <w:spacing w:line="216" w:lineRule="auto"/>
        <w:jc w:val="center"/>
        <w:rPr>
          <w:b/>
          <w:i/>
          <w:sz w:val="12"/>
        </w:rPr>
      </w:pPr>
      <w:r w:rsidRPr="002658C1">
        <w:rPr>
          <w:b/>
          <w:i/>
          <w:sz w:val="24"/>
          <w:szCs w:val="25"/>
        </w:rPr>
        <w:t>Заявленная потребность в работниках на 1 сентября 2019 года</w:t>
      </w:r>
    </w:p>
    <w:p w:rsidR="00FE3330" w:rsidRPr="004A58F1" w:rsidRDefault="00FE3330" w:rsidP="00FE3330">
      <w:pPr>
        <w:rPr>
          <w:color w:val="003399"/>
          <w:sz w:val="22"/>
        </w:rPr>
      </w:pPr>
    </w:p>
    <w:tbl>
      <w:tblPr>
        <w:tblStyle w:val="af1"/>
        <w:tblW w:w="10064" w:type="dxa"/>
        <w:tblInd w:w="250" w:type="dxa"/>
        <w:tblBorders>
          <w:left w:val="none" w:sz="0" w:space="0" w:color="auto"/>
          <w:right w:val="none" w:sz="0" w:space="0" w:color="auto"/>
        </w:tblBorders>
        <w:tblLayout w:type="fixed"/>
        <w:tblLook w:val="04A0" w:firstRow="1" w:lastRow="0" w:firstColumn="1" w:lastColumn="0" w:noHBand="0" w:noVBand="1"/>
      </w:tblPr>
      <w:tblGrid>
        <w:gridCol w:w="3827"/>
        <w:gridCol w:w="5245"/>
        <w:gridCol w:w="992"/>
      </w:tblGrid>
      <w:tr w:rsidR="00FE3330" w:rsidRPr="009D694E" w:rsidTr="006B2DDA">
        <w:tc>
          <w:tcPr>
            <w:tcW w:w="3827" w:type="dxa"/>
            <w:vMerge w:val="restart"/>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16" w:lineRule="auto"/>
              <w:jc w:val="center"/>
              <w:rPr>
                <w:color w:val="003399"/>
                <w:sz w:val="10"/>
                <w:szCs w:val="25"/>
              </w:rPr>
            </w:pPr>
          </w:p>
          <w:p w:rsidR="00FE3330" w:rsidRPr="000C5E9E" w:rsidRDefault="00FE3330" w:rsidP="006B2DDA">
            <w:pPr>
              <w:spacing w:line="216" w:lineRule="auto"/>
              <w:jc w:val="center"/>
              <w:rPr>
                <w:i/>
                <w:sz w:val="25"/>
                <w:szCs w:val="25"/>
                <w:u w:val="single"/>
              </w:rPr>
            </w:pPr>
            <w:r w:rsidRPr="000C5E9E">
              <w:rPr>
                <w:i/>
                <w:sz w:val="25"/>
                <w:szCs w:val="25"/>
                <w:u w:val="single"/>
              </w:rPr>
              <w:t>Банк вакансий города Твери</w:t>
            </w:r>
          </w:p>
          <w:p w:rsidR="00FE3330" w:rsidRPr="000C5E9E" w:rsidRDefault="00FE3330" w:rsidP="006B2DDA">
            <w:pPr>
              <w:spacing w:line="216" w:lineRule="auto"/>
              <w:rPr>
                <w:sz w:val="25"/>
                <w:szCs w:val="25"/>
              </w:rPr>
            </w:pPr>
            <w:r w:rsidRPr="000C5E9E">
              <w:rPr>
                <w:sz w:val="25"/>
                <w:szCs w:val="25"/>
              </w:rPr>
              <w:t xml:space="preserve">5781 вакантное место для трудоустройства граждан. </w:t>
            </w:r>
          </w:p>
          <w:p w:rsidR="00FE3330" w:rsidRPr="000C5E9E" w:rsidRDefault="00FE3330" w:rsidP="006B2DDA">
            <w:pPr>
              <w:spacing w:line="216" w:lineRule="auto"/>
              <w:rPr>
                <w:sz w:val="10"/>
                <w:szCs w:val="25"/>
              </w:rPr>
            </w:pPr>
          </w:p>
          <w:p w:rsidR="00FE3330" w:rsidRPr="000C5E9E" w:rsidRDefault="00FE3330" w:rsidP="006B2DDA">
            <w:pPr>
              <w:spacing w:line="216" w:lineRule="auto"/>
              <w:rPr>
                <w:sz w:val="22"/>
                <w:szCs w:val="22"/>
              </w:rPr>
            </w:pPr>
            <w:r w:rsidRPr="000C5E9E">
              <w:rPr>
                <w:sz w:val="22"/>
                <w:szCs w:val="22"/>
              </w:rPr>
              <w:t xml:space="preserve">Каждая </w:t>
            </w:r>
            <w:r w:rsidRPr="000C5E9E">
              <w:rPr>
                <w:i/>
                <w:sz w:val="22"/>
                <w:szCs w:val="22"/>
                <w:u w:val="single"/>
              </w:rPr>
              <w:t xml:space="preserve">вторая </w:t>
            </w:r>
            <w:r w:rsidRPr="000C5E9E">
              <w:rPr>
                <w:sz w:val="22"/>
                <w:szCs w:val="22"/>
              </w:rPr>
              <w:t xml:space="preserve">вакансия (3053 ед.) – </w:t>
            </w:r>
            <w:r w:rsidRPr="000C5E9E">
              <w:rPr>
                <w:sz w:val="22"/>
                <w:szCs w:val="22"/>
              </w:rPr>
              <w:br/>
              <w:t>по рабочим профессиям</w:t>
            </w:r>
          </w:p>
          <w:p w:rsidR="00FE3330" w:rsidRPr="000C5E9E" w:rsidRDefault="00FE3330" w:rsidP="006B2DDA">
            <w:pPr>
              <w:spacing w:line="216" w:lineRule="auto"/>
              <w:rPr>
                <w:i/>
                <w:sz w:val="22"/>
                <w:szCs w:val="22"/>
              </w:rPr>
            </w:pPr>
            <w:r w:rsidRPr="000C5E9E">
              <w:rPr>
                <w:i/>
                <w:sz w:val="22"/>
                <w:szCs w:val="22"/>
              </w:rPr>
              <w:t xml:space="preserve">                       из них:</w:t>
            </w:r>
          </w:p>
          <w:p w:rsidR="00FE3330" w:rsidRPr="000C5E9E" w:rsidRDefault="00FE3330" w:rsidP="006B2DDA">
            <w:pPr>
              <w:spacing w:line="216" w:lineRule="auto"/>
              <w:rPr>
                <w:sz w:val="22"/>
                <w:szCs w:val="22"/>
              </w:rPr>
            </w:pPr>
            <w:r w:rsidRPr="000C5E9E">
              <w:rPr>
                <w:sz w:val="22"/>
                <w:szCs w:val="22"/>
              </w:rPr>
              <w:t xml:space="preserve">- квалифицированные рабочие </w:t>
            </w:r>
            <w:r w:rsidRPr="000C5E9E">
              <w:rPr>
                <w:sz w:val="22"/>
                <w:szCs w:val="22"/>
              </w:rPr>
              <w:br/>
              <w:t xml:space="preserve">  промышленности, строительства, </w:t>
            </w:r>
            <w:r w:rsidRPr="000C5E9E">
              <w:rPr>
                <w:sz w:val="22"/>
                <w:szCs w:val="22"/>
              </w:rPr>
              <w:br/>
              <w:t xml:space="preserve">  транспорта и рабочие родственных </w:t>
            </w:r>
            <w:r w:rsidRPr="000C5E9E">
              <w:rPr>
                <w:sz w:val="22"/>
                <w:szCs w:val="22"/>
              </w:rPr>
              <w:br/>
              <w:t xml:space="preserve">  занятий (1148 вакансий);</w:t>
            </w:r>
          </w:p>
          <w:p w:rsidR="00FE3330" w:rsidRPr="000C5E9E" w:rsidRDefault="00FE3330" w:rsidP="006B2DDA">
            <w:pPr>
              <w:spacing w:line="216" w:lineRule="auto"/>
              <w:rPr>
                <w:sz w:val="22"/>
                <w:szCs w:val="22"/>
              </w:rPr>
            </w:pPr>
            <w:r w:rsidRPr="000C5E9E">
              <w:rPr>
                <w:sz w:val="22"/>
                <w:szCs w:val="22"/>
              </w:rPr>
              <w:t xml:space="preserve">- операторы производственных </w:t>
            </w:r>
            <w:r w:rsidRPr="000C5E9E">
              <w:rPr>
                <w:sz w:val="22"/>
                <w:szCs w:val="22"/>
              </w:rPr>
              <w:br/>
              <w:t xml:space="preserve">  установок и машин, сборщики </w:t>
            </w:r>
            <w:r w:rsidRPr="000C5E9E">
              <w:rPr>
                <w:sz w:val="22"/>
                <w:szCs w:val="22"/>
              </w:rPr>
              <w:br/>
              <w:t xml:space="preserve">  и водители (801 вакансия).</w:t>
            </w:r>
          </w:p>
          <w:p w:rsidR="00FE3330" w:rsidRPr="000C5E9E" w:rsidRDefault="00FE3330" w:rsidP="006B2DDA">
            <w:pPr>
              <w:spacing w:line="216" w:lineRule="auto"/>
              <w:rPr>
                <w:sz w:val="10"/>
                <w:szCs w:val="22"/>
              </w:rPr>
            </w:pPr>
          </w:p>
          <w:p w:rsidR="00FE3330" w:rsidRPr="009D694E" w:rsidRDefault="00FE3330" w:rsidP="006B2DDA">
            <w:pPr>
              <w:spacing w:line="216" w:lineRule="auto"/>
              <w:rPr>
                <w:color w:val="003399"/>
                <w:sz w:val="22"/>
                <w:szCs w:val="28"/>
              </w:rPr>
            </w:pPr>
            <w:r w:rsidRPr="000C5E9E">
              <w:rPr>
                <w:sz w:val="22"/>
                <w:szCs w:val="22"/>
              </w:rPr>
              <w:t xml:space="preserve">Каждая </w:t>
            </w:r>
            <w:r w:rsidRPr="000C5E9E">
              <w:rPr>
                <w:i/>
                <w:sz w:val="22"/>
                <w:szCs w:val="22"/>
                <w:u w:val="single"/>
              </w:rPr>
              <w:t>девятая</w:t>
            </w:r>
            <w:r w:rsidRPr="000C5E9E">
              <w:rPr>
                <w:sz w:val="22"/>
                <w:szCs w:val="22"/>
              </w:rPr>
              <w:t xml:space="preserve"> вакансия (631 ед.) -  </w:t>
            </w:r>
            <w:r w:rsidRPr="000C5E9E">
              <w:rPr>
                <w:sz w:val="22"/>
                <w:szCs w:val="22"/>
              </w:rPr>
              <w:br/>
              <w:t>неквалифицированные работы.</w:t>
            </w:r>
            <w:r w:rsidRPr="000C5E9E">
              <w:rPr>
                <w:sz w:val="25"/>
                <w:szCs w:val="25"/>
              </w:rPr>
              <w:t xml:space="preserve"> </w:t>
            </w:r>
          </w:p>
        </w:tc>
        <w:tc>
          <w:tcPr>
            <w:tcW w:w="6237" w:type="dxa"/>
            <w:gridSpan w:val="2"/>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EE25D6" w:rsidRDefault="00FE3330" w:rsidP="006B2DDA">
            <w:pPr>
              <w:tabs>
                <w:tab w:val="left" w:pos="2447"/>
              </w:tabs>
              <w:spacing w:line="216" w:lineRule="auto"/>
              <w:jc w:val="center"/>
              <w:rPr>
                <w:i/>
                <w:sz w:val="25"/>
                <w:szCs w:val="25"/>
              </w:rPr>
            </w:pPr>
            <w:r w:rsidRPr="00EE25D6">
              <w:rPr>
                <w:i/>
                <w:sz w:val="25"/>
                <w:szCs w:val="25"/>
              </w:rPr>
              <w:t>Фактическая потребность города Твери</w:t>
            </w:r>
          </w:p>
          <w:p w:rsidR="00FE3330" w:rsidRPr="009D694E" w:rsidRDefault="00FE3330" w:rsidP="006B2DDA">
            <w:pPr>
              <w:tabs>
                <w:tab w:val="left" w:pos="2447"/>
              </w:tabs>
              <w:spacing w:line="216" w:lineRule="auto"/>
              <w:jc w:val="center"/>
              <w:rPr>
                <w:b/>
                <w:color w:val="003399"/>
                <w:sz w:val="22"/>
                <w:szCs w:val="24"/>
              </w:rPr>
            </w:pPr>
            <w:r w:rsidRPr="00EE25D6">
              <w:rPr>
                <w:i/>
                <w:sz w:val="25"/>
                <w:szCs w:val="25"/>
              </w:rPr>
              <w:t>в специалистах социальной сферы, бюджетных учреждений здравоохранения и образования</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jc w:val="center"/>
              <w:rPr>
                <w:b/>
                <w:sz w:val="22"/>
                <w:szCs w:val="24"/>
              </w:rPr>
            </w:pPr>
            <w:r w:rsidRPr="003555C7">
              <w:rPr>
                <w:b/>
                <w:sz w:val="22"/>
                <w:szCs w:val="24"/>
              </w:rPr>
              <w:t>Вакантные места по занятиям</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b/>
                <w:i/>
                <w:sz w:val="18"/>
                <w:szCs w:val="24"/>
              </w:rPr>
            </w:pPr>
            <w:r>
              <w:rPr>
                <w:b/>
                <w:i/>
                <w:sz w:val="18"/>
                <w:szCs w:val="24"/>
              </w:rPr>
              <w:t>вакансий</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Врачи</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270</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Специалисты по медицинскому уходу и акушерству</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13</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Средний медицинский персонал здравоохранения</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390</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Профессорско-преподавательский персонал университетов  и других организаций высшего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43</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Педагогические работники в средней школе</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197</w:t>
            </w:r>
          </w:p>
        </w:tc>
      </w:tr>
      <w:tr w:rsidR="00FE3330" w:rsidRPr="009D694E" w:rsidTr="006B2DDA">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 xml:space="preserve">Педагогические работники </w:t>
            </w:r>
          </w:p>
          <w:p w:rsidR="00FE3330" w:rsidRPr="003555C7" w:rsidRDefault="00FE3330" w:rsidP="006B2DDA">
            <w:pPr>
              <w:rPr>
                <w:sz w:val="22"/>
                <w:szCs w:val="24"/>
              </w:rPr>
            </w:pPr>
            <w:r w:rsidRPr="003555C7">
              <w:rPr>
                <w:sz w:val="22"/>
                <w:szCs w:val="24"/>
              </w:rPr>
              <w:t>в начальном и дошкольном образовании</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73</w:t>
            </w:r>
          </w:p>
        </w:tc>
      </w:tr>
      <w:tr w:rsidR="00FE3330" w:rsidRPr="009D694E" w:rsidTr="006B2DDA">
        <w:trPr>
          <w:trHeight w:val="409"/>
        </w:trPr>
        <w:tc>
          <w:tcPr>
            <w:tcW w:w="3827" w:type="dxa"/>
            <w:vMerge/>
            <w:tcBorders>
              <w:top w:val="dotted" w:sz="4" w:space="0" w:color="auto"/>
              <w:left w:val="dotted" w:sz="4" w:space="0" w:color="auto"/>
              <w:bottom w:val="dotted" w:sz="4" w:space="0" w:color="auto"/>
              <w:right w:val="dotted" w:sz="4" w:space="0" w:color="auto"/>
            </w:tcBorders>
          </w:tcPr>
          <w:p w:rsidR="00FE3330" w:rsidRPr="009D694E" w:rsidRDefault="00FE3330" w:rsidP="006B2DDA">
            <w:pPr>
              <w:spacing w:line="264" w:lineRule="auto"/>
              <w:jc w:val="both"/>
              <w:rPr>
                <w:color w:val="003399"/>
                <w:sz w:val="22"/>
                <w:szCs w:val="28"/>
              </w:rPr>
            </w:pPr>
          </w:p>
        </w:tc>
        <w:tc>
          <w:tcPr>
            <w:tcW w:w="5245"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E3330" w:rsidRPr="003555C7" w:rsidRDefault="00FE3330" w:rsidP="006B2DDA">
            <w:pPr>
              <w:rPr>
                <w:sz w:val="22"/>
                <w:szCs w:val="24"/>
              </w:rPr>
            </w:pPr>
            <w:r w:rsidRPr="003555C7">
              <w:rPr>
                <w:sz w:val="22"/>
                <w:szCs w:val="24"/>
              </w:rPr>
              <w:t xml:space="preserve">Специалисты в области права, </w:t>
            </w:r>
            <w:r w:rsidRPr="003555C7">
              <w:rPr>
                <w:sz w:val="22"/>
                <w:szCs w:val="24"/>
              </w:rPr>
              <w:br/>
              <w:t>гуманитарных областей и культуры</w:t>
            </w:r>
          </w:p>
        </w:tc>
        <w:tc>
          <w:tcPr>
            <w:tcW w:w="992"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rsidR="00FE3330" w:rsidRPr="003555C7" w:rsidRDefault="00FE3330" w:rsidP="006B2DDA">
            <w:pPr>
              <w:jc w:val="center"/>
              <w:rPr>
                <w:sz w:val="22"/>
                <w:szCs w:val="24"/>
              </w:rPr>
            </w:pPr>
            <w:r w:rsidRPr="003555C7">
              <w:rPr>
                <w:sz w:val="22"/>
                <w:szCs w:val="24"/>
              </w:rPr>
              <w:t>107</w:t>
            </w:r>
          </w:p>
        </w:tc>
      </w:tr>
    </w:tbl>
    <w:p w:rsidR="009C5522" w:rsidRPr="003B302F" w:rsidRDefault="009C5522" w:rsidP="009C5522">
      <w:pPr>
        <w:jc w:val="center"/>
        <w:rPr>
          <w:color w:val="0070C0"/>
          <w:sz w:val="18"/>
          <w:szCs w:val="24"/>
        </w:rPr>
      </w:pPr>
    </w:p>
    <w:p w:rsidR="009C5522" w:rsidRDefault="009C5522" w:rsidP="009C5522">
      <w:pPr>
        <w:jc w:val="center"/>
        <w:rPr>
          <w:b/>
          <w:i/>
          <w:sz w:val="24"/>
          <w:szCs w:val="24"/>
        </w:rPr>
      </w:pPr>
      <w:r w:rsidRPr="00966AE1">
        <w:rPr>
          <w:b/>
          <w:i/>
          <w:sz w:val="24"/>
          <w:szCs w:val="24"/>
        </w:rPr>
        <w:t xml:space="preserve">Прогноз показателей, характеризующих состояние рынка труда </w:t>
      </w:r>
      <w:r w:rsidRPr="00966AE1">
        <w:rPr>
          <w:b/>
          <w:i/>
          <w:sz w:val="24"/>
          <w:szCs w:val="24"/>
        </w:rPr>
        <w:br/>
        <w:t>города Твери в 2018-202</w:t>
      </w:r>
      <w:r w:rsidR="00A67AF0">
        <w:rPr>
          <w:b/>
          <w:i/>
          <w:sz w:val="24"/>
          <w:szCs w:val="24"/>
        </w:rPr>
        <w:t>5</w:t>
      </w:r>
      <w:r w:rsidRPr="00966AE1">
        <w:rPr>
          <w:b/>
          <w:i/>
          <w:sz w:val="24"/>
          <w:szCs w:val="24"/>
        </w:rPr>
        <w:t xml:space="preserve"> годах</w:t>
      </w:r>
    </w:p>
    <w:p w:rsidR="009C5522" w:rsidRPr="003B302F" w:rsidRDefault="009C5522" w:rsidP="009C5522">
      <w:pPr>
        <w:jc w:val="center"/>
        <w:rPr>
          <w:sz w:val="10"/>
          <w:szCs w:val="24"/>
        </w:rPr>
      </w:pPr>
    </w:p>
    <w:p w:rsidR="009C5522" w:rsidRPr="00966AE1" w:rsidRDefault="009C5522" w:rsidP="009C5522">
      <w:pPr>
        <w:autoSpaceDE w:val="0"/>
        <w:autoSpaceDN w:val="0"/>
        <w:adjustRightInd w:val="0"/>
        <w:jc w:val="right"/>
        <w:rPr>
          <w:i/>
          <w:sz w:val="24"/>
          <w:szCs w:val="24"/>
        </w:rPr>
      </w:pPr>
      <w:r w:rsidRPr="00966AE1">
        <w:rPr>
          <w:i/>
          <w:sz w:val="24"/>
          <w:szCs w:val="24"/>
        </w:rPr>
        <w:t xml:space="preserve">на конец года </w:t>
      </w:r>
    </w:p>
    <w:tbl>
      <w:tblPr>
        <w:tblStyle w:val="af1"/>
        <w:tblW w:w="10314" w:type="dxa"/>
        <w:tblLayout w:type="fixed"/>
        <w:tblLook w:val="04A0" w:firstRow="1" w:lastRow="0" w:firstColumn="1" w:lastColumn="0" w:noHBand="0" w:noVBand="1"/>
      </w:tblPr>
      <w:tblGrid>
        <w:gridCol w:w="2937"/>
        <w:gridCol w:w="922"/>
        <w:gridCol w:w="923"/>
        <w:gridCol w:w="922"/>
        <w:gridCol w:w="922"/>
        <w:gridCol w:w="922"/>
        <w:gridCol w:w="922"/>
        <w:gridCol w:w="922"/>
        <w:gridCol w:w="922"/>
      </w:tblGrid>
      <w:tr w:rsidR="00FB09D3" w:rsidRPr="00966AE1" w:rsidTr="00FB09D3">
        <w:tc>
          <w:tcPr>
            <w:tcW w:w="2937" w:type="dxa"/>
            <w:vMerge w:val="restart"/>
            <w:vAlign w:val="center"/>
          </w:tcPr>
          <w:p w:rsidR="00FB09D3" w:rsidRPr="00966AE1" w:rsidRDefault="00FB09D3" w:rsidP="009C5522">
            <w:pPr>
              <w:autoSpaceDE w:val="0"/>
              <w:autoSpaceDN w:val="0"/>
              <w:adjustRightInd w:val="0"/>
              <w:jc w:val="center"/>
              <w:rPr>
                <w:sz w:val="24"/>
                <w:szCs w:val="24"/>
              </w:rPr>
            </w:pPr>
          </w:p>
        </w:tc>
        <w:tc>
          <w:tcPr>
            <w:tcW w:w="922" w:type="dxa"/>
            <w:vMerge w:val="restart"/>
            <w:vAlign w:val="center"/>
          </w:tcPr>
          <w:p w:rsidR="00FB09D3" w:rsidRPr="00966AE1" w:rsidRDefault="00FB09D3" w:rsidP="009C5522">
            <w:pPr>
              <w:autoSpaceDE w:val="0"/>
              <w:autoSpaceDN w:val="0"/>
              <w:adjustRightInd w:val="0"/>
              <w:jc w:val="center"/>
              <w:rPr>
                <w:i/>
                <w:sz w:val="24"/>
                <w:szCs w:val="24"/>
              </w:rPr>
            </w:pPr>
            <w:r w:rsidRPr="00966AE1">
              <w:rPr>
                <w:sz w:val="24"/>
                <w:szCs w:val="24"/>
              </w:rPr>
              <w:t>2018</w:t>
            </w:r>
          </w:p>
        </w:tc>
        <w:tc>
          <w:tcPr>
            <w:tcW w:w="923" w:type="dxa"/>
            <w:vMerge w:val="restart"/>
          </w:tcPr>
          <w:p w:rsidR="00FB09D3" w:rsidRPr="00966AE1" w:rsidRDefault="00FB09D3" w:rsidP="009C5522">
            <w:pPr>
              <w:autoSpaceDE w:val="0"/>
              <w:autoSpaceDN w:val="0"/>
              <w:adjustRightInd w:val="0"/>
              <w:jc w:val="center"/>
              <w:rPr>
                <w:sz w:val="24"/>
                <w:szCs w:val="24"/>
              </w:rPr>
            </w:pPr>
            <w:r w:rsidRPr="00966AE1">
              <w:rPr>
                <w:sz w:val="24"/>
                <w:szCs w:val="24"/>
              </w:rPr>
              <w:t>2019</w:t>
            </w:r>
          </w:p>
          <w:p w:rsidR="00FB09D3" w:rsidRPr="00966AE1" w:rsidRDefault="00FB09D3" w:rsidP="009C5522">
            <w:pPr>
              <w:autoSpaceDE w:val="0"/>
              <w:autoSpaceDN w:val="0"/>
              <w:adjustRightInd w:val="0"/>
              <w:jc w:val="center"/>
              <w:rPr>
                <w:i/>
                <w:sz w:val="24"/>
                <w:szCs w:val="24"/>
              </w:rPr>
            </w:pPr>
            <w:r w:rsidRPr="003B302F">
              <w:rPr>
                <w:i/>
                <w:szCs w:val="24"/>
              </w:rPr>
              <w:t>оценка</w:t>
            </w:r>
          </w:p>
        </w:tc>
        <w:tc>
          <w:tcPr>
            <w:tcW w:w="5532" w:type="dxa"/>
            <w:gridSpan w:val="6"/>
            <w:vAlign w:val="center"/>
          </w:tcPr>
          <w:p w:rsidR="00FB09D3" w:rsidRPr="00966AE1" w:rsidRDefault="00FB09D3" w:rsidP="009C5522">
            <w:pPr>
              <w:autoSpaceDE w:val="0"/>
              <w:autoSpaceDN w:val="0"/>
              <w:adjustRightInd w:val="0"/>
              <w:jc w:val="center"/>
              <w:rPr>
                <w:sz w:val="24"/>
                <w:szCs w:val="24"/>
              </w:rPr>
            </w:pPr>
            <w:r w:rsidRPr="00966AE1">
              <w:rPr>
                <w:sz w:val="24"/>
                <w:szCs w:val="24"/>
              </w:rPr>
              <w:t>Прогноз</w:t>
            </w:r>
          </w:p>
        </w:tc>
      </w:tr>
      <w:tr w:rsidR="00FB09D3" w:rsidRPr="00966AE1" w:rsidTr="00FB09D3">
        <w:trPr>
          <w:trHeight w:val="60"/>
        </w:trPr>
        <w:tc>
          <w:tcPr>
            <w:tcW w:w="2937" w:type="dxa"/>
            <w:vMerge/>
          </w:tcPr>
          <w:p w:rsidR="00FB09D3" w:rsidRPr="00966AE1" w:rsidRDefault="00FB09D3" w:rsidP="009C5522">
            <w:pPr>
              <w:autoSpaceDE w:val="0"/>
              <w:autoSpaceDN w:val="0"/>
              <w:adjustRightInd w:val="0"/>
              <w:jc w:val="both"/>
              <w:rPr>
                <w:sz w:val="24"/>
                <w:szCs w:val="24"/>
              </w:rPr>
            </w:pPr>
          </w:p>
        </w:tc>
        <w:tc>
          <w:tcPr>
            <w:tcW w:w="922" w:type="dxa"/>
            <w:vMerge/>
          </w:tcPr>
          <w:p w:rsidR="00FB09D3" w:rsidRPr="00966AE1" w:rsidRDefault="00FB09D3" w:rsidP="009C5522">
            <w:pPr>
              <w:autoSpaceDE w:val="0"/>
              <w:autoSpaceDN w:val="0"/>
              <w:adjustRightInd w:val="0"/>
              <w:jc w:val="center"/>
              <w:rPr>
                <w:sz w:val="24"/>
                <w:szCs w:val="24"/>
              </w:rPr>
            </w:pPr>
          </w:p>
        </w:tc>
        <w:tc>
          <w:tcPr>
            <w:tcW w:w="923" w:type="dxa"/>
            <w:vMerge/>
          </w:tcPr>
          <w:p w:rsidR="00FB09D3" w:rsidRPr="00966AE1" w:rsidRDefault="00FB09D3" w:rsidP="009C5522">
            <w:pPr>
              <w:autoSpaceDE w:val="0"/>
              <w:autoSpaceDN w:val="0"/>
              <w:adjustRightInd w:val="0"/>
              <w:jc w:val="center"/>
              <w:rPr>
                <w:sz w:val="24"/>
                <w:szCs w:val="24"/>
              </w:rPr>
            </w:pP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2020</w:t>
            </w: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2021</w:t>
            </w:r>
          </w:p>
        </w:tc>
        <w:tc>
          <w:tcPr>
            <w:tcW w:w="922" w:type="dxa"/>
          </w:tcPr>
          <w:p w:rsidR="00FB09D3" w:rsidRPr="00966AE1" w:rsidRDefault="00FB09D3" w:rsidP="009C5522">
            <w:pPr>
              <w:autoSpaceDE w:val="0"/>
              <w:autoSpaceDN w:val="0"/>
              <w:adjustRightInd w:val="0"/>
              <w:jc w:val="center"/>
              <w:rPr>
                <w:sz w:val="24"/>
                <w:szCs w:val="24"/>
              </w:rPr>
            </w:pPr>
            <w:r w:rsidRPr="00966AE1">
              <w:rPr>
                <w:sz w:val="24"/>
                <w:szCs w:val="24"/>
              </w:rPr>
              <w:t>2022</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2023</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2024</w:t>
            </w:r>
          </w:p>
        </w:tc>
        <w:tc>
          <w:tcPr>
            <w:tcW w:w="922" w:type="dxa"/>
          </w:tcPr>
          <w:p w:rsidR="00FB09D3" w:rsidRPr="00966AE1" w:rsidRDefault="00FB09D3" w:rsidP="009C5522">
            <w:pPr>
              <w:autoSpaceDE w:val="0"/>
              <w:autoSpaceDN w:val="0"/>
              <w:adjustRightInd w:val="0"/>
              <w:jc w:val="center"/>
              <w:rPr>
                <w:sz w:val="24"/>
                <w:szCs w:val="24"/>
              </w:rPr>
            </w:pPr>
            <w:r>
              <w:rPr>
                <w:sz w:val="24"/>
                <w:szCs w:val="24"/>
              </w:rPr>
              <w:t>2025</w:t>
            </w:r>
          </w:p>
        </w:tc>
      </w:tr>
      <w:tr w:rsidR="00FB09D3" w:rsidRPr="00966AE1" w:rsidTr="00FB09D3">
        <w:trPr>
          <w:trHeight w:val="270"/>
        </w:trPr>
        <w:tc>
          <w:tcPr>
            <w:tcW w:w="2937" w:type="dxa"/>
            <w:vAlign w:val="center"/>
          </w:tcPr>
          <w:p w:rsidR="00FB09D3" w:rsidRPr="00966AE1" w:rsidRDefault="00FB09D3" w:rsidP="009C5522">
            <w:pPr>
              <w:autoSpaceDE w:val="0"/>
              <w:autoSpaceDN w:val="0"/>
              <w:adjustRightInd w:val="0"/>
              <w:rPr>
                <w:sz w:val="24"/>
                <w:szCs w:val="24"/>
              </w:rPr>
            </w:pPr>
            <w:r w:rsidRPr="00966AE1">
              <w:rPr>
                <w:sz w:val="24"/>
                <w:szCs w:val="24"/>
              </w:rPr>
              <w:t>Численность официально</w:t>
            </w:r>
            <w:r w:rsidRPr="00966AE1">
              <w:rPr>
                <w:sz w:val="24"/>
                <w:szCs w:val="24"/>
              </w:rPr>
              <w:br/>
              <w:t xml:space="preserve">зарегистрированных безработных, </w:t>
            </w:r>
            <w:r w:rsidRPr="00966AE1">
              <w:rPr>
                <w:i/>
                <w:sz w:val="24"/>
                <w:szCs w:val="24"/>
              </w:rPr>
              <w:t>человек</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422</w:t>
            </w:r>
          </w:p>
        </w:tc>
        <w:tc>
          <w:tcPr>
            <w:tcW w:w="923"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500</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500</w:t>
            </w:r>
          </w:p>
        </w:tc>
        <w:tc>
          <w:tcPr>
            <w:tcW w:w="922" w:type="dxa"/>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490</w:t>
            </w:r>
          </w:p>
        </w:tc>
        <w:tc>
          <w:tcPr>
            <w:tcW w:w="922" w:type="dxa"/>
            <w:shd w:val="clear" w:color="auto" w:fill="auto"/>
            <w:vAlign w:val="center"/>
          </w:tcPr>
          <w:p w:rsidR="00FB09D3" w:rsidRPr="00966AE1" w:rsidRDefault="00FB09D3" w:rsidP="009C5522">
            <w:pPr>
              <w:autoSpaceDE w:val="0"/>
              <w:autoSpaceDN w:val="0"/>
              <w:adjustRightInd w:val="0"/>
              <w:spacing w:line="216" w:lineRule="auto"/>
              <w:jc w:val="center"/>
              <w:rPr>
                <w:sz w:val="24"/>
                <w:szCs w:val="24"/>
              </w:rPr>
            </w:pPr>
            <w:r w:rsidRPr="00966AE1">
              <w:rPr>
                <w:sz w:val="24"/>
                <w:szCs w:val="24"/>
              </w:rPr>
              <w:t>490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480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470</w:t>
            </w:r>
          </w:p>
        </w:tc>
        <w:tc>
          <w:tcPr>
            <w:tcW w:w="922" w:type="dxa"/>
            <w:vAlign w:val="center"/>
          </w:tcPr>
          <w:p w:rsidR="00FB09D3" w:rsidRPr="00966AE1" w:rsidRDefault="00FB09D3" w:rsidP="00FB09D3">
            <w:pPr>
              <w:autoSpaceDE w:val="0"/>
              <w:autoSpaceDN w:val="0"/>
              <w:adjustRightInd w:val="0"/>
              <w:spacing w:line="216" w:lineRule="auto"/>
              <w:jc w:val="center"/>
              <w:rPr>
                <w:sz w:val="24"/>
                <w:szCs w:val="24"/>
              </w:rPr>
            </w:pPr>
            <w:r>
              <w:rPr>
                <w:sz w:val="24"/>
                <w:szCs w:val="24"/>
              </w:rPr>
              <w:t>470</w:t>
            </w:r>
          </w:p>
        </w:tc>
      </w:tr>
      <w:tr w:rsidR="00FB09D3" w:rsidRPr="00966AE1" w:rsidTr="00FB09D3">
        <w:trPr>
          <w:trHeight w:val="167"/>
        </w:trPr>
        <w:tc>
          <w:tcPr>
            <w:tcW w:w="2937" w:type="dxa"/>
            <w:vAlign w:val="center"/>
          </w:tcPr>
          <w:p w:rsidR="00FB09D3" w:rsidRPr="00966AE1" w:rsidRDefault="00FB09D3" w:rsidP="009C5522">
            <w:pPr>
              <w:autoSpaceDE w:val="0"/>
              <w:autoSpaceDN w:val="0"/>
              <w:adjustRightInd w:val="0"/>
              <w:rPr>
                <w:sz w:val="24"/>
                <w:szCs w:val="24"/>
              </w:rPr>
            </w:pPr>
            <w:r w:rsidRPr="00966AE1">
              <w:rPr>
                <w:sz w:val="24"/>
                <w:szCs w:val="24"/>
              </w:rPr>
              <w:t xml:space="preserve">Заявленная потребность в работниках, </w:t>
            </w:r>
            <w:r w:rsidRPr="00966AE1">
              <w:rPr>
                <w:i/>
                <w:sz w:val="24"/>
                <w:szCs w:val="24"/>
              </w:rPr>
              <w:t>вакансий</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6374</w:t>
            </w:r>
          </w:p>
        </w:tc>
        <w:tc>
          <w:tcPr>
            <w:tcW w:w="923"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6400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6500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6600</w:t>
            </w:r>
          </w:p>
        </w:tc>
        <w:tc>
          <w:tcPr>
            <w:tcW w:w="922" w:type="dxa"/>
            <w:vAlign w:val="center"/>
          </w:tcPr>
          <w:p w:rsidR="00FB09D3" w:rsidRPr="00966AE1" w:rsidRDefault="00FB09D3" w:rsidP="009C5522">
            <w:pPr>
              <w:spacing w:line="216" w:lineRule="auto"/>
              <w:jc w:val="center"/>
              <w:rPr>
                <w:rFonts w:eastAsia="Calibri"/>
                <w:sz w:val="24"/>
                <w:szCs w:val="24"/>
                <w:lang w:eastAsia="en-US"/>
              </w:rPr>
            </w:pPr>
            <w:r w:rsidRPr="00966AE1">
              <w:rPr>
                <w:rFonts w:eastAsia="Calibri"/>
                <w:sz w:val="24"/>
                <w:szCs w:val="24"/>
                <w:lang w:eastAsia="en-US"/>
              </w:rPr>
              <w:t>6700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6800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6900</w:t>
            </w:r>
          </w:p>
        </w:tc>
        <w:tc>
          <w:tcPr>
            <w:tcW w:w="922" w:type="dxa"/>
            <w:vAlign w:val="center"/>
          </w:tcPr>
          <w:p w:rsidR="00FB09D3" w:rsidRPr="00966AE1" w:rsidRDefault="00FB09D3" w:rsidP="00FB09D3">
            <w:pPr>
              <w:spacing w:line="216" w:lineRule="auto"/>
              <w:jc w:val="center"/>
              <w:rPr>
                <w:rFonts w:eastAsia="Calibri"/>
                <w:sz w:val="24"/>
                <w:szCs w:val="24"/>
                <w:lang w:eastAsia="en-US"/>
              </w:rPr>
            </w:pPr>
            <w:r>
              <w:rPr>
                <w:rFonts w:eastAsia="Calibri"/>
                <w:sz w:val="24"/>
                <w:szCs w:val="24"/>
                <w:lang w:eastAsia="en-US"/>
              </w:rPr>
              <w:t>7000</w:t>
            </w:r>
          </w:p>
        </w:tc>
      </w:tr>
      <w:tr w:rsidR="00FB09D3" w:rsidRPr="00966AE1" w:rsidTr="00FB09D3">
        <w:trPr>
          <w:trHeight w:val="161"/>
        </w:trPr>
        <w:tc>
          <w:tcPr>
            <w:tcW w:w="2937" w:type="dxa"/>
            <w:vAlign w:val="center"/>
          </w:tcPr>
          <w:p w:rsidR="00FB09D3" w:rsidRPr="00966AE1" w:rsidRDefault="00FB09D3" w:rsidP="009C5522">
            <w:pPr>
              <w:autoSpaceDE w:val="0"/>
              <w:autoSpaceDN w:val="0"/>
              <w:adjustRightInd w:val="0"/>
              <w:rPr>
                <w:i/>
                <w:sz w:val="24"/>
                <w:szCs w:val="24"/>
              </w:rPr>
            </w:pPr>
            <w:r w:rsidRPr="00966AE1">
              <w:rPr>
                <w:sz w:val="24"/>
                <w:szCs w:val="24"/>
              </w:rPr>
              <w:t xml:space="preserve">Уровень безработицы, </w:t>
            </w:r>
            <w:r w:rsidRPr="00966AE1">
              <w:rPr>
                <w:i/>
                <w:sz w:val="24"/>
                <w:szCs w:val="24"/>
              </w:rPr>
              <w:t>%</w:t>
            </w:r>
          </w:p>
        </w:tc>
        <w:tc>
          <w:tcPr>
            <w:tcW w:w="922" w:type="dxa"/>
            <w:vAlign w:val="center"/>
          </w:tcPr>
          <w:p w:rsidR="00FB09D3" w:rsidRPr="00966AE1" w:rsidRDefault="00FB09D3" w:rsidP="009C5522">
            <w:pPr>
              <w:autoSpaceDE w:val="0"/>
              <w:autoSpaceDN w:val="0"/>
              <w:adjustRightInd w:val="0"/>
              <w:jc w:val="center"/>
              <w:rPr>
                <w:sz w:val="24"/>
                <w:szCs w:val="24"/>
              </w:rPr>
            </w:pPr>
            <w:r w:rsidRPr="00966AE1">
              <w:rPr>
                <w:sz w:val="24"/>
                <w:szCs w:val="24"/>
              </w:rPr>
              <w:t>0,19</w:t>
            </w:r>
          </w:p>
        </w:tc>
        <w:tc>
          <w:tcPr>
            <w:tcW w:w="923" w:type="dxa"/>
            <w:vAlign w:val="center"/>
          </w:tcPr>
          <w:p w:rsidR="00FB09D3" w:rsidRPr="00966AE1" w:rsidRDefault="00FB09D3" w:rsidP="00E03398">
            <w:pPr>
              <w:autoSpaceDE w:val="0"/>
              <w:autoSpaceDN w:val="0"/>
              <w:adjustRightInd w:val="0"/>
              <w:jc w:val="center"/>
              <w:rPr>
                <w:sz w:val="24"/>
                <w:szCs w:val="24"/>
              </w:rPr>
            </w:pPr>
            <w:r w:rsidRPr="00966AE1">
              <w:rPr>
                <w:sz w:val="24"/>
                <w:szCs w:val="24"/>
              </w:rPr>
              <w:t>0,2</w:t>
            </w:r>
            <w:r w:rsidR="00E03398">
              <w:rPr>
                <w:sz w:val="24"/>
                <w:szCs w:val="24"/>
              </w:rPr>
              <w:t>3</w:t>
            </w:r>
          </w:p>
        </w:tc>
        <w:tc>
          <w:tcPr>
            <w:tcW w:w="922" w:type="dxa"/>
            <w:vAlign w:val="center"/>
          </w:tcPr>
          <w:p w:rsidR="00FB09D3" w:rsidRPr="00966AE1" w:rsidRDefault="00FB09D3" w:rsidP="00F97A62">
            <w:pPr>
              <w:autoSpaceDE w:val="0"/>
              <w:autoSpaceDN w:val="0"/>
              <w:adjustRightInd w:val="0"/>
              <w:jc w:val="center"/>
              <w:rPr>
                <w:sz w:val="24"/>
                <w:szCs w:val="24"/>
              </w:rPr>
            </w:pPr>
            <w:r w:rsidRPr="00966AE1">
              <w:rPr>
                <w:sz w:val="24"/>
                <w:szCs w:val="24"/>
              </w:rPr>
              <w:t>0,2</w:t>
            </w:r>
            <w:r w:rsidR="00F97A62">
              <w:rPr>
                <w:sz w:val="24"/>
                <w:szCs w:val="24"/>
              </w:rPr>
              <w:t>2</w:t>
            </w:r>
          </w:p>
        </w:tc>
        <w:tc>
          <w:tcPr>
            <w:tcW w:w="922" w:type="dxa"/>
            <w:vAlign w:val="center"/>
          </w:tcPr>
          <w:p w:rsidR="00FB09D3" w:rsidRPr="00966AE1" w:rsidRDefault="00FB09D3" w:rsidP="00E03398">
            <w:pPr>
              <w:autoSpaceDE w:val="0"/>
              <w:autoSpaceDN w:val="0"/>
              <w:adjustRightInd w:val="0"/>
              <w:jc w:val="center"/>
              <w:rPr>
                <w:sz w:val="24"/>
                <w:szCs w:val="24"/>
              </w:rPr>
            </w:pPr>
            <w:r w:rsidRPr="00966AE1">
              <w:rPr>
                <w:sz w:val="24"/>
                <w:szCs w:val="24"/>
              </w:rPr>
              <w:t>0,2</w:t>
            </w:r>
            <w:r w:rsidR="00E03398">
              <w:rPr>
                <w:sz w:val="24"/>
                <w:szCs w:val="24"/>
              </w:rPr>
              <w:t>2</w:t>
            </w:r>
          </w:p>
        </w:tc>
        <w:tc>
          <w:tcPr>
            <w:tcW w:w="922" w:type="dxa"/>
            <w:vAlign w:val="center"/>
          </w:tcPr>
          <w:p w:rsidR="00FB09D3" w:rsidRPr="00966AE1" w:rsidRDefault="00FB09D3" w:rsidP="00F97A62">
            <w:pPr>
              <w:autoSpaceDE w:val="0"/>
              <w:autoSpaceDN w:val="0"/>
              <w:adjustRightInd w:val="0"/>
              <w:jc w:val="center"/>
              <w:rPr>
                <w:sz w:val="24"/>
                <w:szCs w:val="24"/>
              </w:rPr>
            </w:pPr>
            <w:r w:rsidRPr="00966AE1">
              <w:rPr>
                <w:sz w:val="24"/>
                <w:szCs w:val="24"/>
              </w:rPr>
              <w:t>0,2</w:t>
            </w:r>
            <w:r w:rsidR="00F97A62">
              <w:rPr>
                <w:sz w:val="24"/>
                <w:szCs w:val="24"/>
              </w:rPr>
              <w:t>1</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1</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0</w:t>
            </w:r>
          </w:p>
        </w:tc>
        <w:tc>
          <w:tcPr>
            <w:tcW w:w="922" w:type="dxa"/>
            <w:vAlign w:val="center"/>
          </w:tcPr>
          <w:p w:rsidR="00FB09D3" w:rsidRPr="00966AE1" w:rsidRDefault="00FB09D3" w:rsidP="00E03398">
            <w:pPr>
              <w:autoSpaceDE w:val="0"/>
              <w:autoSpaceDN w:val="0"/>
              <w:adjustRightInd w:val="0"/>
              <w:jc w:val="center"/>
              <w:rPr>
                <w:sz w:val="24"/>
                <w:szCs w:val="24"/>
              </w:rPr>
            </w:pPr>
            <w:r>
              <w:rPr>
                <w:sz w:val="24"/>
                <w:szCs w:val="24"/>
              </w:rPr>
              <w:t>0,2</w:t>
            </w:r>
            <w:r w:rsidR="00E03398">
              <w:rPr>
                <w:sz w:val="24"/>
                <w:szCs w:val="24"/>
              </w:rPr>
              <w:t>0</w:t>
            </w:r>
          </w:p>
        </w:tc>
      </w:tr>
    </w:tbl>
    <w:p w:rsidR="00D40903" w:rsidRDefault="009F3DEF" w:rsidP="00D80ECF">
      <w:pPr>
        <w:widowControl w:val="0"/>
        <w:spacing w:line="288" w:lineRule="auto"/>
        <w:jc w:val="both"/>
        <w:rPr>
          <w:b/>
          <w:sz w:val="24"/>
          <w:szCs w:val="24"/>
        </w:rPr>
      </w:pPr>
      <w:r w:rsidRPr="00AE6D45">
        <w:rPr>
          <w:b/>
          <w:sz w:val="24"/>
          <w:szCs w:val="24"/>
        </w:rPr>
        <w:lastRenderedPageBreak/>
        <w:t xml:space="preserve">6. </w:t>
      </w:r>
      <w:r w:rsidR="009A4BEF" w:rsidRPr="00AE6D45">
        <w:rPr>
          <w:b/>
          <w:sz w:val="24"/>
          <w:szCs w:val="24"/>
        </w:rPr>
        <w:t xml:space="preserve">Численность индивидуальных предпринимателей </w:t>
      </w:r>
    </w:p>
    <w:p w:rsidR="001D53D5" w:rsidRPr="001D53D5" w:rsidRDefault="001D53D5" w:rsidP="00D80ECF">
      <w:pPr>
        <w:widowControl w:val="0"/>
        <w:spacing w:line="288" w:lineRule="auto"/>
        <w:jc w:val="both"/>
        <w:rPr>
          <w:sz w:val="14"/>
          <w:szCs w:val="24"/>
        </w:rPr>
      </w:pPr>
    </w:p>
    <w:p w:rsidR="009D6F04" w:rsidRDefault="00D75AD2" w:rsidP="009D6F04">
      <w:pPr>
        <w:widowControl w:val="0"/>
        <w:spacing w:line="288" w:lineRule="auto"/>
        <w:ind w:firstLine="709"/>
        <w:jc w:val="both"/>
        <w:rPr>
          <w:bCs/>
          <w:sz w:val="24"/>
          <w:szCs w:val="24"/>
        </w:rPr>
      </w:pPr>
      <w:r w:rsidRPr="008D3719">
        <w:rPr>
          <w:sz w:val="24"/>
          <w:szCs w:val="24"/>
        </w:rPr>
        <w:t xml:space="preserve">Численность индивидуальных предпринимателей в городе Твери </w:t>
      </w:r>
      <w:r w:rsidR="002C2003">
        <w:rPr>
          <w:sz w:val="24"/>
          <w:szCs w:val="24"/>
        </w:rPr>
        <w:t>в</w:t>
      </w:r>
      <w:r w:rsidRPr="008D3719">
        <w:rPr>
          <w:sz w:val="24"/>
          <w:szCs w:val="24"/>
        </w:rPr>
        <w:t xml:space="preserve"> 201</w:t>
      </w:r>
      <w:r w:rsidR="00AE6D45" w:rsidRPr="008D3719">
        <w:rPr>
          <w:sz w:val="24"/>
          <w:szCs w:val="24"/>
        </w:rPr>
        <w:t>8</w:t>
      </w:r>
      <w:r w:rsidRPr="008D3719">
        <w:rPr>
          <w:sz w:val="24"/>
          <w:szCs w:val="24"/>
        </w:rPr>
        <w:t xml:space="preserve"> год</w:t>
      </w:r>
      <w:r w:rsidR="002C2003">
        <w:rPr>
          <w:sz w:val="24"/>
          <w:szCs w:val="24"/>
        </w:rPr>
        <w:t>у</w:t>
      </w:r>
      <w:r w:rsidRPr="008D3719">
        <w:rPr>
          <w:sz w:val="24"/>
          <w:szCs w:val="24"/>
        </w:rPr>
        <w:t xml:space="preserve"> составила </w:t>
      </w:r>
      <w:r w:rsidR="009D6F04">
        <w:rPr>
          <w:sz w:val="24"/>
          <w:szCs w:val="24"/>
        </w:rPr>
        <w:br/>
      </w:r>
      <w:r w:rsidRPr="008D3719">
        <w:rPr>
          <w:sz w:val="24"/>
          <w:szCs w:val="24"/>
        </w:rPr>
        <w:t>10,</w:t>
      </w:r>
      <w:r w:rsidR="008D3719" w:rsidRPr="008D3719">
        <w:rPr>
          <w:sz w:val="24"/>
          <w:szCs w:val="24"/>
        </w:rPr>
        <w:t>6</w:t>
      </w:r>
      <w:r w:rsidRPr="008D3719">
        <w:rPr>
          <w:sz w:val="24"/>
          <w:szCs w:val="24"/>
        </w:rPr>
        <w:t xml:space="preserve"> тыс. человек.</w:t>
      </w:r>
      <w:r w:rsidR="009D6F04" w:rsidRPr="009D6F04">
        <w:rPr>
          <w:bCs/>
          <w:sz w:val="24"/>
          <w:szCs w:val="24"/>
        </w:rPr>
        <w:t xml:space="preserve"> </w:t>
      </w:r>
      <w:r w:rsidR="009D6F04">
        <w:rPr>
          <w:bCs/>
          <w:sz w:val="24"/>
          <w:szCs w:val="24"/>
        </w:rPr>
        <w:t>В настоящее время</w:t>
      </w:r>
      <w:r w:rsidR="009D6F04" w:rsidRPr="009808BF">
        <w:rPr>
          <w:bCs/>
          <w:sz w:val="24"/>
          <w:szCs w:val="24"/>
        </w:rPr>
        <w:t xml:space="preserve"> </w:t>
      </w:r>
      <w:r w:rsidR="009D6F04">
        <w:rPr>
          <w:bCs/>
          <w:sz w:val="24"/>
          <w:szCs w:val="24"/>
        </w:rPr>
        <w:t>каждый третий индивидуальный предприниматель (36,3% в общей численности индивидуальных предпринимателей) работает в оптовой и розничной торговле, осуществляет р</w:t>
      </w:r>
      <w:r w:rsidR="009D6F04" w:rsidRPr="001E445A">
        <w:rPr>
          <w:bCs/>
          <w:sz w:val="24"/>
          <w:szCs w:val="24"/>
        </w:rPr>
        <w:t>емонт автотранспортных средств</w:t>
      </w:r>
      <w:r w:rsidR="009D6F04">
        <w:rPr>
          <w:bCs/>
          <w:sz w:val="24"/>
          <w:szCs w:val="24"/>
        </w:rPr>
        <w:t>. Транспортировкой и хранением занимаются 14,3% индивидуальных предпринимателей. П</w:t>
      </w:r>
      <w:r w:rsidR="009D6F04" w:rsidRPr="001E445A">
        <w:rPr>
          <w:bCs/>
          <w:sz w:val="24"/>
          <w:szCs w:val="24"/>
        </w:rPr>
        <w:t>рофессиональн</w:t>
      </w:r>
      <w:r w:rsidR="009D6F04">
        <w:rPr>
          <w:bCs/>
          <w:sz w:val="24"/>
          <w:szCs w:val="24"/>
        </w:rPr>
        <w:t>ой</w:t>
      </w:r>
      <w:r w:rsidR="009D6F04" w:rsidRPr="001E445A">
        <w:rPr>
          <w:bCs/>
          <w:sz w:val="24"/>
          <w:szCs w:val="24"/>
        </w:rPr>
        <w:t>, научн</w:t>
      </w:r>
      <w:r w:rsidR="009D6F04">
        <w:rPr>
          <w:bCs/>
          <w:sz w:val="24"/>
          <w:szCs w:val="24"/>
        </w:rPr>
        <w:t>ой</w:t>
      </w:r>
      <w:r w:rsidR="009D6F04" w:rsidRPr="001E445A">
        <w:rPr>
          <w:bCs/>
          <w:sz w:val="24"/>
          <w:szCs w:val="24"/>
        </w:rPr>
        <w:t xml:space="preserve"> и техническ</w:t>
      </w:r>
      <w:r w:rsidR="009D6F04">
        <w:rPr>
          <w:bCs/>
          <w:sz w:val="24"/>
          <w:szCs w:val="24"/>
        </w:rPr>
        <w:t>ой д</w:t>
      </w:r>
      <w:r w:rsidR="009D6F04" w:rsidRPr="001E445A">
        <w:rPr>
          <w:bCs/>
          <w:sz w:val="24"/>
          <w:szCs w:val="24"/>
        </w:rPr>
        <w:t>еятельност</w:t>
      </w:r>
      <w:r w:rsidR="009D6F04">
        <w:rPr>
          <w:bCs/>
          <w:sz w:val="24"/>
          <w:szCs w:val="24"/>
        </w:rPr>
        <w:t>ью - 8,5%. Остальные виды деятельности менее востребованы, доля каждого составляет не более 6,0% от общего числа предпринимателей.</w:t>
      </w:r>
    </w:p>
    <w:p w:rsidR="00FE3330" w:rsidRPr="002C2003" w:rsidRDefault="00FE3330" w:rsidP="001D53D5">
      <w:pPr>
        <w:jc w:val="center"/>
        <w:rPr>
          <w:sz w:val="24"/>
          <w:szCs w:val="24"/>
        </w:rPr>
      </w:pPr>
    </w:p>
    <w:p w:rsidR="00240ABB" w:rsidRPr="00240ABB" w:rsidRDefault="00240ABB" w:rsidP="001D53D5">
      <w:pPr>
        <w:jc w:val="center"/>
        <w:rPr>
          <w:b/>
          <w:i/>
          <w:sz w:val="24"/>
          <w:szCs w:val="24"/>
        </w:rPr>
      </w:pPr>
      <w:r w:rsidRPr="00240ABB">
        <w:rPr>
          <w:b/>
          <w:i/>
          <w:sz w:val="24"/>
          <w:szCs w:val="24"/>
        </w:rPr>
        <w:t xml:space="preserve">Структура индивидуальных предпринимателей в городе Твери </w:t>
      </w:r>
    </w:p>
    <w:p w:rsidR="00240ABB" w:rsidRDefault="00240ABB" w:rsidP="001D53D5">
      <w:pPr>
        <w:jc w:val="center"/>
        <w:rPr>
          <w:b/>
          <w:i/>
          <w:sz w:val="24"/>
          <w:szCs w:val="24"/>
        </w:rPr>
      </w:pPr>
      <w:r w:rsidRPr="00240ABB">
        <w:rPr>
          <w:b/>
          <w:i/>
          <w:sz w:val="24"/>
          <w:szCs w:val="24"/>
        </w:rPr>
        <w:t>по видам экономической деятельности</w:t>
      </w:r>
      <w:r w:rsidR="0060376B" w:rsidRPr="0060376B">
        <w:rPr>
          <w:b/>
          <w:i/>
          <w:sz w:val="24"/>
          <w:szCs w:val="24"/>
        </w:rPr>
        <w:t xml:space="preserve"> </w:t>
      </w:r>
      <w:r w:rsidR="0060376B" w:rsidRPr="00240ABB">
        <w:rPr>
          <w:b/>
          <w:i/>
          <w:sz w:val="24"/>
          <w:szCs w:val="24"/>
        </w:rPr>
        <w:t xml:space="preserve">на </w:t>
      </w:r>
      <w:r w:rsidR="002C2003">
        <w:rPr>
          <w:b/>
          <w:i/>
          <w:sz w:val="24"/>
          <w:szCs w:val="24"/>
        </w:rPr>
        <w:t>1 января 2019 года</w:t>
      </w:r>
      <w:r w:rsidRPr="00240ABB">
        <w:rPr>
          <w:b/>
          <w:i/>
          <w:sz w:val="24"/>
          <w:szCs w:val="24"/>
        </w:rPr>
        <w:t>,  %</w:t>
      </w:r>
    </w:p>
    <w:p w:rsidR="00863A94" w:rsidRPr="00863A94" w:rsidRDefault="00863A94" w:rsidP="0060376B">
      <w:pPr>
        <w:ind w:firstLine="709"/>
        <w:jc w:val="center"/>
        <w:rPr>
          <w:b/>
          <w:i/>
          <w:sz w:val="18"/>
          <w:szCs w:val="24"/>
        </w:rPr>
      </w:pPr>
    </w:p>
    <w:p w:rsidR="002A73BC" w:rsidRPr="008D3719" w:rsidRDefault="002A73BC" w:rsidP="007315DC">
      <w:pPr>
        <w:tabs>
          <w:tab w:val="left" w:pos="567"/>
        </w:tabs>
        <w:rPr>
          <w:sz w:val="24"/>
          <w:szCs w:val="24"/>
        </w:rPr>
      </w:pPr>
      <w:r>
        <w:rPr>
          <w:noProof/>
          <w:sz w:val="24"/>
          <w:szCs w:val="24"/>
        </w:rPr>
        <w:drawing>
          <wp:inline distT="0" distB="0" distL="0" distR="0">
            <wp:extent cx="6305384" cy="2019631"/>
            <wp:effectExtent l="0" t="0" r="63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315DC" w:rsidRDefault="007315DC" w:rsidP="00D80ECF">
      <w:pPr>
        <w:spacing w:line="288" w:lineRule="auto"/>
        <w:ind w:firstLine="709"/>
        <w:jc w:val="both"/>
        <w:rPr>
          <w:sz w:val="24"/>
          <w:szCs w:val="24"/>
        </w:rPr>
      </w:pPr>
    </w:p>
    <w:p w:rsidR="00D75AD2" w:rsidRPr="008D3719" w:rsidRDefault="00D75AD2" w:rsidP="00D80ECF">
      <w:pPr>
        <w:spacing w:line="288" w:lineRule="auto"/>
        <w:ind w:firstLine="709"/>
        <w:jc w:val="both"/>
        <w:rPr>
          <w:sz w:val="24"/>
          <w:szCs w:val="24"/>
        </w:rPr>
      </w:pPr>
      <w:r w:rsidRPr="008D3719">
        <w:rPr>
          <w:sz w:val="24"/>
          <w:szCs w:val="24"/>
        </w:rPr>
        <w:t xml:space="preserve">Расчет численности индивидуальных предпринимателей без образования юридического лица проведен с использованием официальных данных </w:t>
      </w:r>
      <w:proofErr w:type="spellStart"/>
      <w:r w:rsidRPr="008D3719">
        <w:rPr>
          <w:sz w:val="24"/>
          <w:szCs w:val="24"/>
        </w:rPr>
        <w:t>Тверьстата</w:t>
      </w:r>
      <w:proofErr w:type="spellEnd"/>
      <w:r w:rsidRPr="008D3719">
        <w:rPr>
          <w:sz w:val="24"/>
          <w:szCs w:val="24"/>
        </w:rPr>
        <w:t xml:space="preserve">, межрайонных инспекций Федеральной налоговой службы № 10, № 12 по Тверской области, </w:t>
      </w:r>
      <w:r w:rsidR="00791DE9" w:rsidRPr="008D3719">
        <w:rPr>
          <w:sz w:val="24"/>
          <w:szCs w:val="24"/>
        </w:rPr>
        <w:t>сведений</w:t>
      </w:r>
      <w:r w:rsidRPr="008D3719">
        <w:rPr>
          <w:sz w:val="24"/>
          <w:szCs w:val="24"/>
        </w:rPr>
        <w:t xml:space="preserve"> из единого реестра субъектов малого и среднего предпринимательства, </w:t>
      </w:r>
      <w:r w:rsidR="00791DE9" w:rsidRPr="008D3719">
        <w:rPr>
          <w:sz w:val="24"/>
          <w:szCs w:val="24"/>
        </w:rPr>
        <w:t>ф</w:t>
      </w:r>
      <w:r w:rsidRPr="008D3719">
        <w:rPr>
          <w:sz w:val="24"/>
          <w:szCs w:val="24"/>
        </w:rPr>
        <w:t xml:space="preserve">ормирование и ведение которого осуществляется Федеральной налоговой службой. </w:t>
      </w:r>
      <w:r w:rsidR="00791DE9" w:rsidRPr="008D3719">
        <w:rPr>
          <w:sz w:val="24"/>
          <w:szCs w:val="24"/>
        </w:rPr>
        <w:t>Анализировалась</w:t>
      </w:r>
      <w:r w:rsidRPr="008D3719">
        <w:rPr>
          <w:sz w:val="24"/>
          <w:szCs w:val="24"/>
        </w:rPr>
        <w:t xml:space="preserve"> достоверност</w:t>
      </w:r>
      <w:r w:rsidR="00791DE9" w:rsidRPr="008D3719">
        <w:rPr>
          <w:sz w:val="24"/>
          <w:szCs w:val="24"/>
        </w:rPr>
        <w:t>ь</w:t>
      </w:r>
      <w:r w:rsidRPr="008D3719">
        <w:rPr>
          <w:sz w:val="24"/>
          <w:szCs w:val="24"/>
        </w:rPr>
        <w:t xml:space="preserve"> представленных оценочных данных, </w:t>
      </w:r>
      <w:r w:rsidR="00791DE9" w:rsidRPr="008D3719">
        <w:rPr>
          <w:sz w:val="24"/>
          <w:szCs w:val="24"/>
        </w:rPr>
        <w:t>тенденции</w:t>
      </w:r>
      <w:r w:rsidRPr="008D3719">
        <w:rPr>
          <w:sz w:val="24"/>
          <w:szCs w:val="24"/>
        </w:rPr>
        <w:t xml:space="preserve"> социально-экономическо</w:t>
      </w:r>
      <w:r w:rsidR="00791DE9" w:rsidRPr="008D3719">
        <w:rPr>
          <w:sz w:val="24"/>
          <w:szCs w:val="24"/>
        </w:rPr>
        <w:t>го</w:t>
      </w:r>
      <w:r w:rsidRPr="008D3719">
        <w:rPr>
          <w:sz w:val="24"/>
          <w:szCs w:val="24"/>
        </w:rPr>
        <w:t xml:space="preserve"> развити</w:t>
      </w:r>
      <w:r w:rsidR="00791DE9" w:rsidRPr="008D3719">
        <w:rPr>
          <w:sz w:val="24"/>
          <w:szCs w:val="24"/>
        </w:rPr>
        <w:t>я</w:t>
      </w:r>
      <w:r w:rsidRPr="008D3719">
        <w:rPr>
          <w:sz w:val="24"/>
          <w:szCs w:val="24"/>
        </w:rPr>
        <w:t xml:space="preserve"> города Твери, перспективы </w:t>
      </w:r>
      <w:r w:rsidR="00791DE9" w:rsidRPr="008D3719">
        <w:rPr>
          <w:sz w:val="24"/>
          <w:szCs w:val="24"/>
        </w:rPr>
        <w:t>п</w:t>
      </w:r>
      <w:r w:rsidRPr="008D3719">
        <w:rPr>
          <w:sz w:val="24"/>
          <w:szCs w:val="24"/>
        </w:rPr>
        <w:t>редприниматель</w:t>
      </w:r>
      <w:r w:rsidR="00791DE9" w:rsidRPr="008D3719">
        <w:rPr>
          <w:sz w:val="24"/>
          <w:szCs w:val="24"/>
        </w:rPr>
        <w:t>ской деятельности</w:t>
      </w:r>
      <w:r w:rsidRPr="008D3719">
        <w:rPr>
          <w:sz w:val="24"/>
          <w:szCs w:val="24"/>
        </w:rPr>
        <w:t xml:space="preserve">. </w:t>
      </w:r>
    </w:p>
    <w:p w:rsidR="00D75AD2" w:rsidRPr="008D3719" w:rsidRDefault="00791DE9" w:rsidP="00D80ECF">
      <w:pPr>
        <w:spacing w:line="288" w:lineRule="auto"/>
        <w:ind w:firstLine="709"/>
        <w:jc w:val="both"/>
        <w:rPr>
          <w:sz w:val="24"/>
          <w:szCs w:val="24"/>
        </w:rPr>
      </w:pPr>
      <w:r w:rsidRPr="008D3719">
        <w:rPr>
          <w:sz w:val="24"/>
          <w:szCs w:val="24"/>
        </w:rPr>
        <w:t xml:space="preserve">Учитывая </w:t>
      </w:r>
      <w:r w:rsidR="00D75AD2" w:rsidRPr="008D3719">
        <w:rPr>
          <w:sz w:val="24"/>
          <w:szCs w:val="24"/>
        </w:rPr>
        <w:t>сложивши</w:t>
      </w:r>
      <w:r w:rsidRPr="008D3719">
        <w:rPr>
          <w:sz w:val="24"/>
          <w:szCs w:val="24"/>
        </w:rPr>
        <w:t>еся</w:t>
      </w:r>
      <w:r w:rsidR="00D75AD2" w:rsidRPr="008D3719">
        <w:rPr>
          <w:sz w:val="24"/>
          <w:szCs w:val="24"/>
        </w:rPr>
        <w:t xml:space="preserve"> тенденци</w:t>
      </w:r>
      <w:r w:rsidRPr="008D3719">
        <w:rPr>
          <w:sz w:val="24"/>
          <w:szCs w:val="24"/>
        </w:rPr>
        <w:t>и</w:t>
      </w:r>
      <w:r w:rsidR="00D75AD2" w:rsidRPr="008D3719">
        <w:rPr>
          <w:sz w:val="24"/>
          <w:szCs w:val="24"/>
        </w:rPr>
        <w:t xml:space="preserve"> на рынке труда</w:t>
      </w:r>
      <w:r w:rsidRPr="008D3719">
        <w:rPr>
          <w:sz w:val="24"/>
          <w:szCs w:val="24"/>
        </w:rPr>
        <w:t>,</w:t>
      </w:r>
      <w:r w:rsidR="00D75AD2" w:rsidRPr="008D3719">
        <w:rPr>
          <w:sz w:val="24"/>
          <w:szCs w:val="24"/>
        </w:rPr>
        <w:t xml:space="preserve"> прогнозируется незначительный рост количества индивидуальных предпринимателей без образования юридического лица. В прогнозируемом периоде 20</w:t>
      </w:r>
      <w:r w:rsidR="008D3719" w:rsidRPr="008D3719">
        <w:rPr>
          <w:sz w:val="24"/>
          <w:szCs w:val="24"/>
        </w:rPr>
        <w:t>20</w:t>
      </w:r>
      <w:r w:rsidR="00D75AD2" w:rsidRPr="008D3719">
        <w:rPr>
          <w:sz w:val="24"/>
          <w:szCs w:val="24"/>
        </w:rPr>
        <w:t>-202</w:t>
      </w:r>
      <w:r w:rsidR="008D3719" w:rsidRPr="008D3719">
        <w:rPr>
          <w:sz w:val="24"/>
          <w:szCs w:val="24"/>
        </w:rPr>
        <w:t>2</w:t>
      </w:r>
      <w:r w:rsidR="00D75AD2" w:rsidRPr="008D3719">
        <w:rPr>
          <w:sz w:val="24"/>
          <w:szCs w:val="24"/>
        </w:rPr>
        <w:t xml:space="preserve"> годов планируется увеличение численности ИП – в целом к уровню 201</w:t>
      </w:r>
      <w:r w:rsidR="008D3719" w:rsidRPr="008D3719">
        <w:rPr>
          <w:sz w:val="24"/>
          <w:szCs w:val="24"/>
        </w:rPr>
        <w:t>9</w:t>
      </w:r>
      <w:r w:rsidR="00D75AD2" w:rsidRPr="008D3719">
        <w:rPr>
          <w:sz w:val="24"/>
          <w:szCs w:val="24"/>
        </w:rPr>
        <w:t xml:space="preserve"> года на </w:t>
      </w:r>
      <w:r w:rsidR="008D3719" w:rsidRPr="008D3719">
        <w:rPr>
          <w:sz w:val="24"/>
          <w:szCs w:val="24"/>
        </w:rPr>
        <w:t>4</w:t>
      </w:r>
      <w:r w:rsidR="00D75AD2" w:rsidRPr="008D3719">
        <w:rPr>
          <w:sz w:val="24"/>
          <w:szCs w:val="24"/>
        </w:rPr>
        <w:t>,</w:t>
      </w:r>
      <w:r w:rsidR="008D3719" w:rsidRPr="008D3719">
        <w:rPr>
          <w:sz w:val="24"/>
          <w:szCs w:val="24"/>
        </w:rPr>
        <w:t>0</w:t>
      </w:r>
      <w:r w:rsidR="00D75AD2" w:rsidRPr="008D3719">
        <w:rPr>
          <w:sz w:val="24"/>
          <w:szCs w:val="24"/>
        </w:rPr>
        <w:t>%. В период 202</w:t>
      </w:r>
      <w:r w:rsidR="008D3719" w:rsidRPr="008D3719">
        <w:rPr>
          <w:sz w:val="24"/>
          <w:szCs w:val="24"/>
        </w:rPr>
        <w:t>3</w:t>
      </w:r>
      <w:r w:rsidR="00D75AD2" w:rsidRPr="008D3719">
        <w:rPr>
          <w:sz w:val="24"/>
          <w:szCs w:val="24"/>
        </w:rPr>
        <w:t>-202</w:t>
      </w:r>
      <w:r w:rsidR="008D3719" w:rsidRPr="008D3719">
        <w:rPr>
          <w:sz w:val="24"/>
          <w:szCs w:val="24"/>
        </w:rPr>
        <w:t>5</w:t>
      </w:r>
      <w:r w:rsidR="00D75AD2" w:rsidRPr="008D3719">
        <w:rPr>
          <w:sz w:val="24"/>
          <w:szCs w:val="24"/>
        </w:rPr>
        <w:t xml:space="preserve"> годов </w:t>
      </w:r>
      <w:r w:rsidRPr="008D3719">
        <w:rPr>
          <w:sz w:val="24"/>
          <w:szCs w:val="24"/>
        </w:rPr>
        <w:t xml:space="preserve">ежегодный </w:t>
      </w:r>
      <w:r w:rsidR="00D75AD2" w:rsidRPr="008D3719">
        <w:rPr>
          <w:sz w:val="24"/>
          <w:szCs w:val="24"/>
        </w:rPr>
        <w:t>рост численности ИП</w:t>
      </w:r>
      <w:r w:rsidR="008D3719" w:rsidRPr="008D3719">
        <w:rPr>
          <w:sz w:val="24"/>
          <w:szCs w:val="24"/>
        </w:rPr>
        <w:t xml:space="preserve"> ожидается в пределах 1</w:t>
      </w:r>
      <w:r w:rsidR="00D75AD2" w:rsidRPr="008D3719">
        <w:rPr>
          <w:sz w:val="24"/>
          <w:szCs w:val="24"/>
        </w:rPr>
        <w:t>%</w:t>
      </w:r>
      <w:r w:rsidRPr="008D3719">
        <w:rPr>
          <w:sz w:val="24"/>
          <w:szCs w:val="24"/>
        </w:rPr>
        <w:t>.</w:t>
      </w:r>
      <w:r w:rsidR="00D75AD2" w:rsidRPr="008D3719">
        <w:rPr>
          <w:sz w:val="24"/>
          <w:szCs w:val="24"/>
        </w:rPr>
        <w:t xml:space="preserve"> </w:t>
      </w:r>
    </w:p>
    <w:p w:rsidR="00D75AD2" w:rsidRPr="007E5EAE" w:rsidRDefault="00D75AD2" w:rsidP="0053531C">
      <w:pPr>
        <w:rPr>
          <w:color w:val="003399"/>
          <w:sz w:val="18"/>
          <w:szCs w:val="24"/>
        </w:rPr>
      </w:pPr>
    </w:p>
    <w:p w:rsidR="00B2328F" w:rsidRPr="0087131D" w:rsidRDefault="00B2328F" w:rsidP="0053531C">
      <w:pPr>
        <w:jc w:val="both"/>
        <w:rPr>
          <w:b/>
          <w:sz w:val="24"/>
          <w:szCs w:val="24"/>
        </w:rPr>
      </w:pPr>
      <w:r w:rsidRPr="0087131D">
        <w:rPr>
          <w:b/>
          <w:sz w:val="24"/>
          <w:szCs w:val="24"/>
        </w:rPr>
        <w:t xml:space="preserve">7. Оборот розничной торговли  </w:t>
      </w:r>
    </w:p>
    <w:p w:rsidR="0038243E" w:rsidRPr="007E5EAE" w:rsidRDefault="0038243E" w:rsidP="0053531C">
      <w:pPr>
        <w:jc w:val="both"/>
        <w:rPr>
          <w:sz w:val="18"/>
          <w:szCs w:val="24"/>
        </w:rPr>
      </w:pPr>
    </w:p>
    <w:p w:rsidR="00087A05" w:rsidRPr="0087131D" w:rsidRDefault="00D60D05" w:rsidP="00D80ECF">
      <w:pPr>
        <w:widowControl w:val="0"/>
        <w:spacing w:line="288" w:lineRule="auto"/>
        <w:ind w:firstLine="709"/>
        <w:jc w:val="both"/>
        <w:outlineLvl w:val="1"/>
        <w:rPr>
          <w:sz w:val="24"/>
          <w:szCs w:val="24"/>
        </w:rPr>
      </w:pPr>
      <w:r w:rsidRPr="0087131D">
        <w:rPr>
          <w:sz w:val="24"/>
          <w:szCs w:val="24"/>
        </w:rPr>
        <w:t>В 201</w:t>
      </w:r>
      <w:r w:rsidR="0087131D" w:rsidRPr="0087131D">
        <w:rPr>
          <w:sz w:val="24"/>
          <w:szCs w:val="24"/>
        </w:rPr>
        <w:t>8</w:t>
      </w:r>
      <w:r w:rsidRPr="0087131D">
        <w:rPr>
          <w:sz w:val="24"/>
          <w:szCs w:val="24"/>
        </w:rPr>
        <w:t xml:space="preserve"> году оборот розничной торговли во всех каналах реализации составил </w:t>
      </w:r>
      <w:r w:rsidR="00B04C94" w:rsidRPr="0087131D">
        <w:rPr>
          <w:sz w:val="24"/>
          <w:szCs w:val="24"/>
        </w:rPr>
        <w:br/>
        <w:t>1</w:t>
      </w:r>
      <w:r w:rsidR="0087131D" w:rsidRPr="0087131D">
        <w:rPr>
          <w:sz w:val="24"/>
          <w:szCs w:val="24"/>
        </w:rPr>
        <w:t xml:space="preserve">71,7 </w:t>
      </w:r>
      <w:r w:rsidRPr="0087131D">
        <w:rPr>
          <w:sz w:val="24"/>
          <w:szCs w:val="24"/>
        </w:rPr>
        <w:t xml:space="preserve">млрд. рублей, что в сопоставимых ценах на </w:t>
      </w:r>
      <w:r w:rsidR="0087131D" w:rsidRPr="0087131D">
        <w:rPr>
          <w:sz w:val="24"/>
          <w:szCs w:val="24"/>
        </w:rPr>
        <w:t>2,9</w:t>
      </w:r>
      <w:r w:rsidRPr="0087131D">
        <w:rPr>
          <w:sz w:val="24"/>
          <w:szCs w:val="24"/>
        </w:rPr>
        <w:t xml:space="preserve">% </w:t>
      </w:r>
      <w:r w:rsidR="00B04C94" w:rsidRPr="0087131D">
        <w:rPr>
          <w:sz w:val="24"/>
          <w:szCs w:val="24"/>
        </w:rPr>
        <w:t>выше</w:t>
      </w:r>
      <w:r w:rsidRPr="0087131D">
        <w:rPr>
          <w:sz w:val="24"/>
          <w:szCs w:val="24"/>
        </w:rPr>
        <w:t xml:space="preserve"> 201</w:t>
      </w:r>
      <w:r w:rsidR="0087131D" w:rsidRPr="0087131D">
        <w:rPr>
          <w:sz w:val="24"/>
          <w:szCs w:val="24"/>
        </w:rPr>
        <w:t>7</w:t>
      </w:r>
      <w:r w:rsidRPr="0087131D">
        <w:rPr>
          <w:sz w:val="24"/>
          <w:szCs w:val="24"/>
        </w:rPr>
        <w:t xml:space="preserve"> года. </w:t>
      </w:r>
      <w:r w:rsidR="0063044D" w:rsidRPr="0087131D">
        <w:rPr>
          <w:sz w:val="24"/>
          <w:szCs w:val="24"/>
        </w:rPr>
        <w:t>Позитивные тенденции 201</w:t>
      </w:r>
      <w:r w:rsidR="004542BD">
        <w:rPr>
          <w:sz w:val="24"/>
          <w:szCs w:val="24"/>
        </w:rPr>
        <w:t>8</w:t>
      </w:r>
      <w:r w:rsidR="0063044D" w:rsidRPr="0087131D">
        <w:rPr>
          <w:sz w:val="24"/>
          <w:szCs w:val="24"/>
        </w:rPr>
        <w:t xml:space="preserve"> года продолжают развиваться в 201</w:t>
      </w:r>
      <w:r w:rsidR="004542BD">
        <w:rPr>
          <w:sz w:val="24"/>
          <w:szCs w:val="24"/>
        </w:rPr>
        <w:t>9</w:t>
      </w:r>
      <w:r w:rsidR="0063044D" w:rsidRPr="0087131D">
        <w:rPr>
          <w:sz w:val="24"/>
          <w:szCs w:val="24"/>
        </w:rPr>
        <w:t xml:space="preserve"> году. </w:t>
      </w:r>
      <w:r w:rsidRPr="0087131D">
        <w:rPr>
          <w:sz w:val="24"/>
          <w:szCs w:val="24"/>
        </w:rPr>
        <w:t>При оценке данного показателя за 201</w:t>
      </w:r>
      <w:r w:rsidR="0087131D" w:rsidRPr="0087131D">
        <w:rPr>
          <w:sz w:val="24"/>
          <w:szCs w:val="24"/>
        </w:rPr>
        <w:t>9</w:t>
      </w:r>
      <w:r w:rsidRPr="0087131D">
        <w:rPr>
          <w:sz w:val="24"/>
          <w:szCs w:val="24"/>
        </w:rPr>
        <w:t xml:space="preserve"> год</w:t>
      </w:r>
      <w:r w:rsidR="00087A05" w:rsidRPr="0087131D">
        <w:rPr>
          <w:sz w:val="24"/>
          <w:szCs w:val="24"/>
        </w:rPr>
        <w:t xml:space="preserve"> в объеме 1</w:t>
      </w:r>
      <w:r w:rsidR="0087131D" w:rsidRPr="0087131D">
        <w:rPr>
          <w:sz w:val="24"/>
          <w:szCs w:val="24"/>
        </w:rPr>
        <w:t>8</w:t>
      </w:r>
      <w:r w:rsidR="00E04458">
        <w:rPr>
          <w:sz w:val="24"/>
          <w:szCs w:val="24"/>
        </w:rPr>
        <w:t>5</w:t>
      </w:r>
      <w:r w:rsidR="0087131D" w:rsidRPr="0087131D">
        <w:rPr>
          <w:sz w:val="24"/>
          <w:szCs w:val="24"/>
        </w:rPr>
        <w:t>,</w:t>
      </w:r>
      <w:r w:rsidR="00E04458">
        <w:rPr>
          <w:sz w:val="24"/>
          <w:szCs w:val="24"/>
        </w:rPr>
        <w:t>2</w:t>
      </w:r>
      <w:r w:rsidR="00087A05" w:rsidRPr="0087131D">
        <w:rPr>
          <w:sz w:val="24"/>
          <w:szCs w:val="24"/>
        </w:rPr>
        <w:t xml:space="preserve"> млрд. рублей</w:t>
      </w:r>
      <w:r w:rsidRPr="0087131D">
        <w:rPr>
          <w:sz w:val="24"/>
          <w:szCs w:val="24"/>
        </w:rPr>
        <w:t xml:space="preserve"> учитыва</w:t>
      </w:r>
      <w:r w:rsidR="00087A05" w:rsidRPr="0087131D">
        <w:rPr>
          <w:sz w:val="24"/>
          <w:szCs w:val="24"/>
        </w:rPr>
        <w:t xml:space="preserve">ются </w:t>
      </w:r>
      <w:r w:rsidR="0063044D" w:rsidRPr="0087131D">
        <w:rPr>
          <w:sz w:val="24"/>
          <w:szCs w:val="24"/>
        </w:rPr>
        <w:t xml:space="preserve">следующие факторы. </w:t>
      </w:r>
    </w:p>
    <w:p w:rsidR="0087131D" w:rsidRPr="00A9723F" w:rsidRDefault="0087131D" w:rsidP="0087131D">
      <w:pPr>
        <w:spacing w:line="312" w:lineRule="auto"/>
        <w:jc w:val="both"/>
        <w:rPr>
          <w:sz w:val="24"/>
          <w:szCs w:val="24"/>
        </w:rPr>
      </w:pPr>
      <w:r>
        <w:rPr>
          <w:sz w:val="24"/>
          <w:szCs w:val="24"/>
        </w:rPr>
        <w:tab/>
      </w:r>
      <w:r w:rsidRPr="0087131D">
        <w:rPr>
          <w:sz w:val="24"/>
          <w:szCs w:val="24"/>
        </w:rPr>
        <w:t xml:space="preserve">Стабилизация экономической деятельности хозяйствующих субъектов </w:t>
      </w:r>
      <w:r w:rsidRPr="00A9723F">
        <w:rPr>
          <w:sz w:val="24"/>
          <w:szCs w:val="24"/>
        </w:rPr>
        <w:t xml:space="preserve">создала предпосылки для роста уровня занятости работников в организациях города Твери. По итогам </w:t>
      </w:r>
      <w:r w:rsidR="008C6AF4">
        <w:rPr>
          <w:sz w:val="24"/>
          <w:szCs w:val="24"/>
        </w:rPr>
        <w:br/>
      </w:r>
      <w:r w:rsidRPr="00A9723F">
        <w:rPr>
          <w:sz w:val="24"/>
          <w:szCs w:val="24"/>
        </w:rPr>
        <w:t xml:space="preserve">1 полугодия 2019 года среднесписочная численность работников крупных и средних организаций </w:t>
      </w:r>
      <w:r w:rsidRPr="00A9723F">
        <w:rPr>
          <w:sz w:val="24"/>
          <w:szCs w:val="24"/>
        </w:rPr>
        <w:lastRenderedPageBreak/>
        <w:t xml:space="preserve">города Твери выросла на 1,6%. В торговле занято 10,7 тыс. человек или каждый девятый работник крупных и средних организаций города Твери. </w:t>
      </w:r>
    </w:p>
    <w:p w:rsidR="0087131D" w:rsidRPr="009467CC" w:rsidRDefault="0087131D" w:rsidP="0087131D">
      <w:pPr>
        <w:spacing w:line="312" w:lineRule="auto"/>
        <w:jc w:val="both"/>
        <w:rPr>
          <w:sz w:val="24"/>
          <w:szCs w:val="24"/>
        </w:rPr>
      </w:pPr>
      <w:r w:rsidRPr="003F6863">
        <w:rPr>
          <w:color w:val="FF0000"/>
          <w:sz w:val="24"/>
          <w:szCs w:val="24"/>
        </w:rPr>
        <w:tab/>
      </w:r>
      <w:r w:rsidRPr="00A9723F">
        <w:rPr>
          <w:sz w:val="24"/>
          <w:szCs w:val="24"/>
        </w:rPr>
        <w:t>Среднемесячная номинальная заработная плата на крупных и средних организациях города Твери в январе–июне 2019 года возросла на 7,8% к прошлогоднему периоду, в торговле составила 38,9 тыс. рублей.</w:t>
      </w:r>
      <w:r w:rsidR="009921B9">
        <w:rPr>
          <w:sz w:val="24"/>
          <w:szCs w:val="24"/>
        </w:rPr>
        <w:t xml:space="preserve"> </w:t>
      </w:r>
      <w:r w:rsidRPr="00A9723F">
        <w:rPr>
          <w:sz w:val="24"/>
          <w:szCs w:val="24"/>
        </w:rPr>
        <w:t xml:space="preserve">Индекс потребительских цен на товары и услуги по Тверской области в </w:t>
      </w:r>
      <w:r w:rsidRPr="00A9723F">
        <w:rPr>
          <w:sz w:val="24"/>
          <w:szCs w:val="24"/>
        </w:rPr>
        <w:br/>
        <w:t xml:space="preserve">1 полугодии 2019 года составил 105,0% (за аналогичный период 2018 года – </w:t>
      </w:r>
      <w:r w:rsidRPr="00A9723F">
        <w:rPr>
          <w:sz w:val="24"/>
          <w:szCs w:val="24"/>
        </w:rPr>
        <w:br/>
        <w:t xml:space="preserve">101,5%), что свидетельствует о росте инфляции. </w:t>
      </w:r>
      <w:r>
        <w:rPr>
          <w:sz w:val="24"/>
          <w:szCs w:val="24"/>
        </w:rPr>
        <w:t>Выросли</w:t>
      </w:r>
      <w:r w:rsidRPr="00A9723F">
        <w:rPr>
          <w:sz w:val="24"/>
          <w:szCs w:val="24"/>
        </w:rPr>
        <w:t xml:space="preserve"> цены на продовольственные товары </w:t>
      </w:r>
      <w:r w:rsidR="00F60FC4">
        <w:rPr>
          <w:sz w:val="24"/>
          <w:szCs w:val="24"/>
        </w:rPr>
        <w:br/>
      </w:r>
      <w:r w:rsidRPr="00A9723F">
        <w:rPr>
          <w:sz w:val="24"/>
          <w:szCs w:val="24"/>
        </w:rPr>
        <w:t>(1 полугодие 2019 – 106,2%, 1 полугодие 2018 – 100,4</w:t>
      </w:r>
      <w:r w:rsidRPr="009467CC">
        <w:rPr>
          <w:sz w:val="24"/>
          <w:szCs w:val="24"/>
        </w:rPr>
        <w:t xml:space="preserve">%), на непродовольственные товары </w:t>
      </w:r>
      <w:r w:rsidR="00F60FC4">
        <w:rPr>
          <w:sz w:val="24"/>
          <w:szCs w:val="24"/>
        </w:rPr>
        <w:br/>
      </w:r>
      <w:r w:rsidRPr="009467CC">
        <w:rPr>
          <w:sz w:val="24"/>
          <w:szCs w:val="24"/>
        </w:rPr>
        <w:t xml:space="preserve">(1 полугодие 2019 – 104,4%, 1 полугодие 2018 - 101,8%). </w:t>
      </w:r>
    </w:p>
    <w:p w:rsidR="00087A05" w:rsidRDefault="00087A05" w:rsidP="00D80ECF">
      <w:pPr>
        <w:spacing w:line="288" w:lineRule="auto"/>
        <w:jc w:val="both"/>
        <w:rPr>
          <w:sz w:val="24"/>
          <w:szCs w:val="24"/>
        </w:rPr>
      </w:pPr>
      <w:r w:rsidRPr="00EF78C0">
        <w:rPr>
          <w:color w:val="003399"/>
          <w:sz w:val="24"/>
          <w:szCs w:val="24"/>
        </w:rPr>
        <w:tab/>
      </w:r>
      <w:r w:rsidRPr="00F60FC4">
        <w:rPr>
          <w:sz w:val="24"/>
          <w:szCs w:val="24"/>
        </w:rPr>
        <w:t>В плановом периоде 20</w:t>
      </w:r>
      <w:r w:rsidR="00F60FC4" w:rsidRPr="00F60FC4">
        <w:rPr>
          <w:sz w:val="24"/>
          <w:szCs w:val="24"/>
        </w:rPr>
        <w:t>20</w:t>
      </w:r>
      <w:r w:rsidRPr="00F60FC4">
        <w:rPr>
          <w:sz w:val="24"/>
          <w:szCs w:val="24"/>
        </w:rPr>
        <w:t>–202</w:t>
      </w:r>
      <w:r w:rsidR="00F60FC4" w:rsidRPr="00F60FC4">
        <w:rPr>
          <w:sz w:val="24"/>
          <w:szCs w:val="24"/>
        </w:rPr>
        <w:t>5</w:t>
      </w:r>
      <w:r w:rsidRPr="00F60FC4">
        <w:rPr>
          <w:sz w:val="24"/>
          <w:szCs w:val="24"/>
        </w:rPr>
        <w:t xml:space="preserve"> годов прогнозируется ежегодное увеличение оборота розничной торговли на </w:t>
      </w:r>
      <w:r w:rsidR="00E04458">
        <w:rPr>
          <w:sz w:val="24"/>
          <w:szCs w:val="24"/>
        </w:rPr>
        <w:t>3</w:t>
      </w:r>
      <w:r w:rsidRPr="00F60FC4">
        <w:rPr>
          <w:sz w:val="24"/>
          <w:szCs w:val="24"/>
        </w:rPr>
        <w:t>,</w:t>
      </w:r>
      <w:r w:rsidR="00E04458">
        <w:rPr>
          <w:sz w:val="24"/>
          <w:szCs w:val="24"/>
        </w:rPr>
        <w:t>0%</w:t>
      </w:r>
      <w:r w:rsidRPr="00F60FC4">
        <w:rPr>
          <w:sz w:val="24"/>
          <w:szCs w:val="24"/>
        </w:rPr>
        <w:t xml:space="preserve"> – </w:t>
      </w:r>
      <w:r w:rsidR="00E04458">
        <w:rPr>
          <w:sz w:val="24"/>
          <w:szCs w:val="24"/>
        </w:rPr>
        <w:t>3,3</w:t>
      </w:r>
      <w:r w:rsidRPr="00F60FC4">
        <w:rPr>
          <w:sz w:val="24"/>
          <w:szCs w:val="24"/>
        </w:rPr>
        <w:t xml:space="preserve">% в сопоставимых ценах. </w:t>
      </w:r>
    </w:p>
    <w:p w:rsidR="00D1580A" w:rsidRPr="00F60FC4" w:rsidRDefault="001D53D5" w:rsidP="00D80ECF">
      <w:pPr>
        <w:spacing w:line="288" w:lineRule="auto"/>
        <w:jc w:val="both"/>
        <w:rPr>
          <w:sz w:val="24"/>
          <w:szCs w:val="24"/>
        </w:rPr>
      </w:pPr>
      <w:r w:rsidRPr="00EF78C0">
        <w:rPr>
          <w:noProof/>
          <w:color w:val="003399"/>
          <w:sz w:val="24"/>
          <w:szCs w:val="24"/>
        </w:rPr>
        <w:drawing>
          <wp:anchor distT="0" distB="0" distL="114300" distR="114300" simplePos="0" relativeHeight="251667456" behindDoc="0" locked="0" layoutInCell="1" allowOverlap="1" wp14:anchorId="4BB76D07" wp14:editId="56DE8779">
            <wp:simplePos x="0" y="0"/>
            <wp:positionH relativeFrom="column">
              <wp:posOffset>-58174</wp:posOffset>
            </wp:positionH>
            <wp:positionV relativeFrom="paragraph">
              <wp:posOffset>23174</wp:posOffset>
            </wp:positionV>
            <wp:extent cx="6585045" cy="2729552"/>
            <wp:effectExtent l="0" t="0" r="6350" b="0"/>
            <wp:wrapNone/>
            <wp:docPr id="37" name="Диаграмма 37"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B77786" w:rsidRPr="00EF78C0" w:rsidRDefault="00B77786"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B77786" w:rsidRPr="00EF78C0" w:rsidRDefault="00B77786"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CD5C61" w:rsidRPr="00EF78C0" w:rsidRDefault="00CD5C61"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D60D05" w:rsidRPr="00EF78C0" w:rsidRDefault="00D60D0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F70E35" w:rsidRPr="00EF78C0" w:rsidRDefault="00F70E35" w:rsidP="00D80ECF">
      <w:pPr>
        <w:autoSpaceDE w:val="0"/>
        <w:autoSpaceDN w:val="0"/>
        <w:adjustRightInd w:val="0"/>
        <w:spacing w:line="288" w:lineRule="auto"/>
        <w:jc w:val="both"/>
        <w:rPr>
          <w:color w:val="003399"/>
          <w:sz w:val="24"/>
          <w:szCs w:val="24"/>
          <w:u w:val="single"/>
          <w14:shadow w14:blurRad="50800" w14:dist="38100" w14:dir="13500000" w14:sx="100000" w14:sy="100000" w14:kx="0" w14:ky="0" w14:algn="br">
            <w14:srgbClr w14:val="000000">
              <w14:alpha w14:val="60000"/>
            </w14:srgbClr>
          </w14:shadow>
        </w:rPr>
      </w:pPr>
    </w:p>
    <w:p w:rsidR="00C27009" w:rsidRPr="008D3719" w:rsidRDefault="00B2328F" w:rsidP="00D80ECF">
      <w:pPr>
        <w:autoSpaceDE w:val="0"/>
        <w:autoSpaceDN w:val="0"/>
        <w:adjustRightInd w:val="0"/>
        <w:spacing w:line="288" w:lineRule="auto"/>
        <w:jc w:val="both"/>
        <w:rPr>
          <w:b/>
          <w:sz w:val="24"/>
          <w:szCs w:val="24"/>
        </w:rPr>
      </w:pPr>
      <w:r w:rsidRPr="008D3719">
        <w:rPr>
          <w:b/>
          <w:sz w:val="24"/>
          <w:szCs w:val="24"/>
        </w:rPr>
        <w:t>8. Налогооблагаемая прибыль предприятий</w:t>
      </w:r>
    </w:p>
    <w:p w:rsidR="000037C3" w:rsidRDefault="000037C3" w:rsidP="000037C3">
      <w:pPr>
        <w:widowControl w:val="0"/>
        <w:spacing w:line="312" w:lineRule="auto"/>
        <w:ind w:firstLine="709"/>
        <w:jc w:val="both"/>
        <w:rPr>
          <w:sz w:val="24"/>
          <w:szCs w:val="26"/>
        </w:rPr>
      </w:pPr>
    </w:p>
    <w:p w:rsidR="009D6F04" w:rsidRDefault="009D6F04" w:rsidP="009D6F04">
      <w:pPr>
        <w:jc w:val="both"/>
        <w:rPr>
          <w:b/>
          <w:sz w:val="24"/>
          <w:szCs w:val="24"/>
        </w:rPr>
      </w:pPr>
    </w:p>
    <w:p w:rsidR="009D6F04" w:rsidRPr="009D6F04" w:rsidRDefault="009D6F04" w:rsidP="009D6F04">
      <w:pPr>
        <w:jc w:val="both"/>
        <w:rPr>
          <w:b/>
          <w:sz w:val="24"/>
          <w:szCs w:val="24"/>
        </w:rPr>
      </w:pPr>
      <w:r w:rsidRPr="009D6F04">
        <w:rPr>
          <w:b/>
          <w:sz w:val="24"/>
          <w:szCs w:val="24"/>
        </w:rPr>
        <w:t>8. Налогооблагаемая прибыль предприятий</w:t>
      </w:r>
    </w:p>
    <w:p w:rsidR="009D6F04" w:rsidRPr="001D53D5" w:rsidRDefault="009D6F04" w:rsidP="00B97B6E">
      <w:pPr>
        <w:widowControl w:val="0"/>
        <w:spacing w:line="312" w:lineRule="auto"/>
        <w:ind w:firstLine="709"/>
        <w:jc w:val="both"/>
        <w:rPr>
          <w:sz w:val="16"/>
          <w:szCs w:val="26"/>
        </w:rPr>
      </w:pPr>
    </w:p>
    <w:p w:rsidR="00A95C57" w:rsidRDefault="000037C3" w:rsidP="00B97B6E">
      <w:pPr>
        <w:widowControl w:val="0"/>
        <w:spacing w:line="312" w:lineRule="auto"/>
        <w:ind w:firstLine="709"/>
        <w:jc w:val="both"/>
        <w:rPr>
          <w:sz w:val="24"/>
          <w:szCs w:val="26"/>
        </w:rPr>
      </w:pPr>
      <w:r w:rsidRPr="00D90372">
        <w:rPr>
          <w:sz w:val="24"/>
          <w:szCs w:val="26"/>
        </w:rPr>
        <w:t xml:space="preserve">Поступления налогов, сборов и иных обязательных платежей с территории города Твери в бюджетную систему Российской Федерации в 2018 году увеличились на 16,0% к 2017 году и составили 35,4 млрд. рублей. </w:t>
      </w:r>
    </w:p>
    <w:p w:rsidR="00A95C57" w:rsidRDefault="0019659E" w:rsidP="000037C3">
      <w:pPr>
        <w:widowControl w:val="0"/>
        <w:spacing w:line="312" w:lineRule="auto"/>
        <w:ind w:firstLine="709"/>
        <w:jc w:val="both"/>
        <w:rPr>
          <w:sz w:val="24"/>
          <w:szCs w:val="26"/>
        </w:rPr>
      </w:pPr>
      <w:r w:rsidRPr="007332CD">
        <w:rPr>
          <w:noProof/>
          <w:sz w:val="24"/>
          <w:szCs w:val="26"/>
        </w:rPr>
        <mc:AlternateContent>
          <mc:Choice Requires="wps">
            <w:drawing>
              <wp:anchor distT="0" distB="0" distL="114300" distR="114300" simplePos="0" relativeHeight="251729920" behindDoc="0" locked="0" layoutInCell="1" allowOverlap="1" wp14:anchorId="3A58D9EF" wp14:editId="7DAD7F96">
                <wp:simplePos x="0" y="0"/>
                <wp:positionH relativeFrom="column">
                  <wp:posOffset>488508</wp:posOffset>
                </wp:positionH>
                <wp:positionV relativeFrom="paragraph">
                  <wp:posOffset>19105</wp:posOffset>
                </wp:positionV>
                <wp:extent cx="2861945" cy="413468"/>
                <wp:effectExtent l="0" t="0" r="0" b="57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13468"/>
                        </a:xfrm>
                        <a:prstGeom prst="rect">
                          <a:avLst/>
                        </a:prstGeom>
                        <a:solidFill>
                          <a:srgbClr val="FFFFFF"/>
                        </a:solidFill>
                        <a:ln w="9525">
                          <a:noFill/>
                          <a:miter lim="800000"/>
                          <a:headEnd/>
                          <a:tailEnd/>
                        </a:ln>
                      </wps:spPr>
                      <wps:txbx>
                        <w:txbxContent>
                          <w:p w:rsidR="008B1069" w:rsidRPr="00A95C57" w:rsidRDefault="008B1069" w:rsidP="00B97B6E">
                            <w:pPr>
                              <w:widowControl w:val="0"/>
                              <w:jc w:val="center"/>
                              <w:rPr>
                                <w:i/>
                                <w:sz w:val="22"/>
                                <w:szCs w:val="26"/>
                              </w:rPr>
                            </w:pPr>
                            <w:r w:rsidRPr="00A95C57">
                              <w:rPr>
                                <w:i/>
                                <w:sz w:val="22"/>
                                <w:szCs w:val="26"/>
                              </w:rPr>
                              <w:t>Динамика поступлений налога на прибыль в бюджет Тверской области, в млрд. рублей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8.45pt;margin-top:1.5pt;width:225.35pt;height:3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" stroked="f">
                <v:textbox>
                  <w:txbxContent>
                    <w:p w:rsidR="008B12B4" w:rsidRPr="00A95C57" w:rsidRDefault="008B12B4" w:rsidP="00B97B6E">
                      <w:pPr>
                        <w:widowControl w:val="0"/>
                        <w:jc w:val="center"/>
                        <w:rPr>
                          <w:i/>
                          <w:sz w:val="22"/>
                          <w:szCs w:val="26"/>
                        </w:rPr>
                      </w:pPr>
                      <w:r w:rsidRPr="00A95C57">
                        <w:rPr>
                          <w:i/>
                          <w:sz w:val="22"/>
                          <w:szCs w:val="26"/>
                        </w:rPr>
                        <w:t>Динамика поступлений налога на прибыль в бюджет Тверской области, в млрд. рублей</w:t>
                      </w:r>
                    </w:p>
                  </w:txbxContent>
                </v:textbox>
              </v:shape>
            </w:pict>
          </mc:Fallback>
        </mc:AlternateContent>
      </w:r>
    </w:p>
    <w:p w:rsidR="00A95C57" w:rsidRDefault="00ED11AA" w:rsidP="00A95C57">
      <w:pPr>
        <w:widowControl w:val="0"/>
        <w:spacing w:line="312" w:lineRule="auto"/>
        <w:jc w:val="both"/>
        <w:rPr>
          <w:sz w:val="24"/>
          <w:szCs w:val="26"/>
        </w:rPr>
      </w:pPr>
      <w:r w:rsidRPr="00A95C57">
        <w:rPr>
          <w:noProof/>
          <w:sz w:val="24"/>
          <w:szCs w:val="26"/>
        </w:rPr>
        <mc:AlternateContent>
          <mc:Choice Requires="wps">
            <w:drawing>
              <wp:anchor distT="0" distB="0" distL="114300" distR="114300" simplePos="0" relativeHeight="251731968" behindDoc="0" locked="0" layoutInCell="1" allowOverlap="1" wp14:anchorId="2DF9033C" wp14:editId="44FDD3A9">
                <wp:simplePos x="0" y="0"/>
                <wp:positionH relativeFrom="column">
                  <wp:posOffset>3732530</wp:posOffset>
                </wp:positionH>
                <wp:positionV relativeFrom="paragraph">
                  <wp:posOffset>57785</wp:posOffset>
                </wp:positionV>
                <wp:extent cx="2790825" cy="1645920"/>
                <wp:effectExtent l="0" t="0" r="9525"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645920"/>
                        </a:xfrm>
                        <a:prstGeom prst="rect">
                          <a:avLst/>
                        </a:prstGeom>
                        <a:solidFill>
                          <a:srgbClr val="FFFFFF"/>
                        </a:solidFill>
                        <a:ln w="9525">
                          <a:noFill/>
                          <a:miter lim="800000"/>
                          <a:headEnd/>
                          <a:tailEnd/>
                        </a:ln>
                      </wps:spPr>
                      <wps:txbx>
                        <w:txbxContent>
                          <w:p w:rsidR="008B1069" w:rsidRDefault="008B1069" w:rsidP="00A03AD0">
                            <w:pPr>
                              <w:widowControl w:val="0"/>
                              <w:spacing w:line="312" w:lineRule="auto"/>
                              <w:ind w:right="-16"/>
                              <w:jc w:val="both"/>
                            </w:pPr>
                            <w:r>
                              <w:rPr>
                                <w:sz w:val="24"/>
                                <w:szCs w:val="26"/>
                              </w:rPr>
                              <w:t>П</w:t>
                            </w:r>
                            <w:r w:rsidRPr="00D90372">
                              <w:rPr>
                                <w:sz w:val="24"/>
                                <w:szCs w:val="26"/>
                              </w:rPr>
                              <w:t>оступлени</w:t>
                            </w:r>
                            <w:r>
                              <w:rPr>
                                <w:sz w:val="24"/>
                                <w:szCs w:val="26"/>
                              </w:rPr>
                              <w:t>я</w:t>
                            </w:r>
                            <w:r w:rsidRPr="00D90372">
                              <w:rPr>
                                <w:sz w:val="24"/>
                                <w:szCs w:val="26"/>
                              </w:rPr>
                              <w:t xml:space="preserve"> по налогу на прибыль организаций в </w:t>
                            </w:r>
                            <w:r>
                              <w:rPr>
                                <w:sz w:val="24"/>
                                <w:szCs w:val="26"/>
                              </w:rPr>
                              <w:t xml:space="preserve">областной </w:t>
                            </w:r>
                            <w:r w:rsidRPr="00D90372">
                              <w:rPr>
                                <w:sz w:val="24"/>
                                <w:szCs w:val="26"/>
                              </w:rPr>
                              <w:t>бюджет</w:t>
                            </w:r>
                            <w:r>
                              <w:rPr>
                                <w:sz w:val="24"/>
                                <w:szCs w:val="26"/>
                              </w:rPr>
                              <w:t xml:space="preserve"> возросли в 1,3 раза до 6,8 </w:t>
                            </w:r>
                            <w:r w:rsidRPr="00D90372">
                              <w:rPr>
                                <w:sz w:val="24"/>
                                <w:szCs w:val="26"/>
                              </w:rPr>
                              <w:t>млрд. рублей</w:t>
                            </w:r>
                            <w:r>
                              <w:rPr>
                                <w:sz w:val="24"/>
                                <w:szCs w:val="26"/>
                              </w:rPr>
                              <w:t xml:space="preserve">, </w:t>
                            </w:r>
                            <w:r w:rsidRPr="00ED11AA">
                              <w:rPr>
                                <w:sz w:val="24"/>
                                <w:szCs w:val="26"/>
                              </w:rPr>
                              <w:t xml:space="preserve">обеспечив </w:t>
                            </w:r>
                            <w:r>
                              <w:rPr>
                                <w:sz w:val="24"/>
                                <w:szCs w:val="26"/>
                              </w:rPr>
                              <w:t xml:space="preserve">почти </w:t>
                            </w:r>
                            <w:r w:rsidRPr="00ED11AA">
                              <w:rPr>
                                <w:sz w:val="24"/>
                                <w:szCs w:val="26"/>
                              </w:rPr>
                              <w:t xml:space="preserve">половину (48,4%) общей суммы налога, поступившей в </w:t>
                            </w:r>
                            <w:r>
                              <w:rPr>
                                <w:sz w:val="24"/>
                                <w:szCs w:val="26"/>
                              </w:rPr>
                              <w:t>региональный</w:t>
                            </w:r>
                            <w:r w:rsidRPr="00ED11AA">
                              <w:rPr>
                                <w:sz w:val="24"/>
                                <w:szCs w:val="26"/>
                              </w:rPr>
                              <w:t xml:space="preserve"> бюджет с территории Тверской области.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93.9pt;margin-top:4.55pt;width:219.75pt;height:12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" stroked="f">
                <v:textbox>
                  <w:txbxContent>
                    <w:p w:rsidR="008B12B4" w:rsidRDefault="008B12B4" w:rsidP="00A03AD0">
                      <w:pPr>
                        <w:widowControl w:val="0"/>
                        <w:spacing w:line="312" w:lineRule="auto"/>
                        <w:ind w:right="-16"/>
                        <w:jc w:val="both"/>
                      </w:pPr>
                      <w:r>
                        <w:rPr>
                          <w:sz w:val="24"/>
                          <w:szCs w:val="26"/>
                        </w:rPr>
                        <w:t>П</w:t>
                      </w:r>
                      <w:r w:rsidRPr="00D90372">
                        <w:rPr>
                          <w:sz w:val="24"/>
                          <w:szCs w:val="26"/>
                        </w:rPr>
                        <w:t>оступлени</w:t>
                      </w:r>
                      <w:r>
                        <w:rPr>
                          <w:sz w:val="24"/>
                          <w:szCs w:val="26"/>
                        </w:rPr>
                        <w:t>я</w:t>
                      </w:r>
                      <w:r w:rsidRPr="00D90372">
                        <w:rPr>
                          <w:sz w:val="24"/>
                          <w:szCs w:val="26"/>
                        </w:rPr>
                        <w:t xml:space="preserve"> по налогу на прибыль организаций в </w:t>
                      </w:r>
                      <w:r>
                        <w:rPr>
                          <w:sz w:val="24"/>
                          <w:szCs w:val="26"/>
                        </w:rPr>
                        <w:t xml:space="preserve">областной </w:t>
                      </w:r>
                      <w:r w:rsidRPr="00D90372">
                        <w:rPr>
                          <w:sz w:val="24"/>
                          <w:szCs w:val="26"/>
                        </w:rPr>
                        <w:t>бюджет</w:t>
                      </w:r>
                      <w:r>
                        <w:rPr>
                          <w:sz w:val="24"/>
                          <w:szCs w:val="26"/>
                        </w:rPr>
                        <w:t xml:space="preserve"> возросли в 1,3 раза до 6,8 </w:t>
                      </w:r>
                      <w:r w:rsidRPr="00D90372">
                        <w:rPr>
                          <w:sz w:val="24"/>
                          <w:szCs w:val="26"/>
                        </w:rPr>
                        <w:t>млрд. рублей</w:t>
                      </w:r>
                      <w:r>
                        <w:rPr>
                          <w:sz w:val="24"/>
                          <w:szCs w:val="26"/>
                        </w:rPr>
                        <w:t xml:space="preserve">, </w:t>
                      </w:r>
                      <w:r w:rsidRPr="00ED11AA">
                        <w:rPr>
                          <w:sz w:val="24"/>
                          <w:szCs w:val="26"/>
                        </w:rPr>
                        <w:t xml:space="preserve">обеспечив </w:t>
                      </w:r>
                      <w:r>
                        <w:rPr>
                          <w:sz w:val="24"/>
                          <w:szCs w:val="26"/>
                        </w:rPr>
                        <w:t xml:space="preserve">почти </w:t>
                      </w:r>
                      <w:r w:rsidRPr="00ED11AA">
                        <w:rPr>
                          <w:sz w:val="24"/>
                          <w:szCs w:val="26"/>
                        </w:rPr>
                        <w:t xml:space="preserve">половину (48,4%) общей суммы налога, поступившей в </w:t>
                      </w:r>
                      <w:r>
                        <w:rPr>
                          <w:sz w:val="24"/>
                          <w:szCs w:val="26"/>
                        </w:rPr>
                        <w:t>региональный</w:t>
                      </w:r>
                      <w:r w:rsidRPr="00ED11AA">
                        <w:rPr>
                          <w:sz w:val="24"/>
                          <w:szCs w:val="26"/>
                        </w:rPr>
                        <w:t xml:space="preserve"> бюджет с территории Тверской области.</w:t>
                      </w:r>
                    </w:p>
                  </w:txbxContent>
                </v:textbox>
              </v:shape>
            </w:pict>
          </mc:Fallback>
        </mc:AlternateContent>
      </w:r>
      <w:r w:rsidR="00A95C57" w:rsidRPr="007332CD">
        <w:rPr>
          <w:noProof/>
          <w:color w:val="00B050"/>
          <w:sz w:val="28"/>
          <w:szCs w:val="24"/>
        </w:rPr>
        <w:drawing>
          <wp:inline distT="0" distB="0" distL="0" distR="0" wp14:anchorId="71D4EFD6" wp14:editId="1101E582">
            <wp:extent cx="3729161" cy="1804946"/>
            <wp:effectExtent l="0" t="0" r="5080" b="508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037C3" w:rsidRDefault="000037C3" w:rsidP="000037C3">
      <w:pPr>
        <w:spacing w:line="312" w:lineRule="auto"/>
        <w:ind w:firstLine="709"/>
        <w:jc w:val="both"/>
        <w:rPr>
          <w:sz w:val="24"/>
          <w:szCs w:val="28"/>
        </w:rPr>
      </w:pPr>
      <w:r w:rsidRPr="00D90372">
        <w:rPr>
          <w:sz w:val="24"/>
          <w:szCs w:val="26"/>
        </w:rPr>
        <w:t>Общая сумма</w:t>
      </w:r>
      <w:r>
        <w:rPr>
          <w:sz w:val="24"/>
          <w:szCs w:val="26"/>
        </w:rPr>
        <w:t xml:space="preserve"> начисленной</w:t>
      </w:r>
      <w:r w:rsidRPr="00D90372">
        <w:rPr>
          <w:sz w:val="24"/>
          <w:szCs w:val="26"/>
        </w:rPr>
        <w:t xml:space="preserve"> </w:t>
      </w:r>
      <w:r w:rsidRPr="00D90372">
        <w:rPr>
          <w:i/>
          <w:sz w:val="24"/>
          <w:szCs w:val="26"/>
          <w:u w:val="single"/>
        </w:rPr>
        <w:t>налогооблагаемой прибыли</w:t>
      </w:r>
      <w:r w:rsidRPr="00D90372">
        <w:rPr>
          <w:sz w:val="24"/>
          <w:szCs w:val="26"/>
        </w:rPr>
        <w:t xml:space="preserve"> по муниципальному образованию город Тверь за 2018 год составила 40,9</w:t>
      </w:r>
      <w:r>
        <w:rPr>
          <w:sz w:val="24"/>
          <w:szCs w:val="26"/>
        </w:rPr>
        <w:t>7</w:t>
      </w:r>
      <w:r w:rsidRPr="00D90372">
        <w:rPr>
          <w:sz w:val="24"/>
          <w:szCs w:val="26"/>
        </w:rPr>
        <w:t xml:space="preserve"> млрд. рублей</w:t>
      </w:r>
      <w:r>
        <w:rPr>
          <w:sz w:val="24"/>
          <w:szCs w:val="26"/>
        </w:rPr>
        <w:t xml:space="preserve">. </w:t>
      </w:r>
      <w:r w:rsidRPr="00D84128">
        <w:rPr>
          <w:sz w:val="24"/>
          <w:szCs w:val="28"/>
        </w:rPr>
        <w:t>За последние 3 года наблюдается устойчивая динамика роста данного показателя.</w:t>
      </w:r>
    </w:p>
    <w:p w:rsidR="000037C3" w:rsidRPr="00D84128" w:rsidRDefault="000037C3" w:rsidP="009D6F04">
      <w:pPr>
        <w:pageBreakBefore/>
        <w:jc w:val="center"/>
        <w:rPr>
          <w:b/>
          <w:i/>
          <w:sz w:val="24"/>
          <w:szCs w:val="26"/>
        </w:rPr>
      </w:pPr>
      <w:r w:rsidRPr="00D84128">
        <w:rPr>
          <w:b/>
          <w:i/>
          <w:sz w:val="24"/>
          <w:szCs w:val="26"/>
        </w:rPr>
        <w:lastRenderedPageBreak/>
        <w:t xml:space="preserve">Динамика налогооблагаемой прибыли предприятий города Твери </w:t>
      </w:r>
    </w:p>
    <w:p w:rsidR="000037C3" w:rsidRDefault="000037C3" w:rsidP="000037C3">
      <w:pPr>
        <w:spacing w:line="288" w:lineRule="auto"/>
        <w:ind w:firstLine="709"/>
        <w:jc w:val="center"/>
        <w:rPr>
          <w:b/>
          <w:i/>
          <w:sz w:val="24"/>
          <w:szCs w:val="26"/>
        </w:rPr>
      </w:pPr>
      <w:r w:rsidRPr="00D84128">
        <w:rPr>
          <w:b/>
          <w:i/>
          <w:sz w:val="24"/>
          <w:szCs w:val="26"/>
        </w:rPr>
        <w:t>в 2011-201</w:t>
      </w:r>
      <w:r>
        <w:rPr>
          <w:b/>
          <w:i/>
          <w:sz w:val="24"/>
          <w:szCs w:val="26"/>
        </w:rPr>
        <w:t>8</w:t>
      </w:r>
      <w:r w:rsidRPr="00D84128">
        <w:rPr>
          <w:b/>
          <w:i/>
          <w:sz w:val="24"/>
          <w:szCs w:val="26"/>
        </w:rPr>
        <w:t xml:space="preserve"> годах, млрд. рублей</w:t>
      </w:r>
    </w:p>
    <w:p w:rsidR="000037C3" w:rsidRPr="00D90372" w:rsidRDefault="000037C3" w:rsidP="000037C3">
      <w:pPr>
        <w:spacing w:line="288" w:lineRule="auto"/>
        <w:jc w:val="both"/>
        <w:rPr>
          <w:sz w:val="24"/>
          <w:szCs w:val="26"/>
        </w:rPr>
      </w:pPr>
      <w:r w:rsidRPr="00D31554">
        <w:rPr>
          <w:noProof/>
          <w:color w:val="003366"/>
          <w:sz w:val="24"/>
          <w:szCs w:val="24"/>
        </w:rPr>
        <w:drawing>
          <wp:inline distT="0" distB="0" distL="0" distR="0" wp14:anchorId="71B12EC4" wp14:editId="355BF796">
            <wp:extent cx="6209969" cy="1280160"/>
            <wp:effectExtent l="1905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37C3" w:rsidRPr="00D5373D" w:rsidRDefault="000037C3" w:rsidP="000037C3">
      <w:pPr>
        <w:spacing w:line="312" w:lineRule="auto"/>
        <w:ind w:firstLine="709"/>
        <w:jc w:val="both"/>
        <w:rPr>
          <w:sz w:val="14"/>
          <w:szCs w:val="26"/>
        </w:rPr>
      </w:pPr>
      <w:r w:rsidRPr="00D90372">
        <w:rPr>
          <w:sz w:val="24"/>
          <w:szCs w:val="26"/>
        </w:rPr>
        <w:t>Рост объемов отгруженных товаров, выполненных работ, услуг по предприятиям обрабатывающих пр</w:t>
      </w:r>
      <w:bookmarkStart w:id="0" w:name="_GoBack"/>
      <w:bookmarkEnd w:id="0"/>
      <w:r w:rsidRPr="00D90372">
        <w:rPr>
          <w:sz w:val="24"/>
          <w:szCs w:val="26"/>
        </w:rPr>
        <w:t>оизво</w:t>
      </w:r>
      <w:proofErr w:type="gramStart"/>
      <w:r w:rsidRPr="00D90372">
        <w:rPr>
          <w:sz w:val="24"/>
          <w:szCs w:val="26"/>
        </w:rPr>
        <w:t>дств пр</w:t>
      </w:r>
      <w:proofErr w:type="gramEnd"/>
      <w:r w:rsidRPr="00D90372">
        <w:rPr>
          <w:sz w:val="24"/>
          <w:szCs w:val="26"/>
        </w:rPr>
        <w:t xml:space="preserve">ивел к увеличению доли прибыли данных предприятий в общем числе рентабельных организаций города </w:t>
      </w:r>
      <w:r w:rsidRPr="0036795D">
        <w:rPr>
          <w:sz w:val="24"/>
          <w:szCs w:val="26"/>
        </w:rPr>
        <w:t>(без субъектов малого предпринимательства)</w:t>
      </w:r>
      <w:r>
        <w:rPr>
          <w:sz w:val="24"/>
          <w:szCs w:val="26"/>
        </w:rPr>
        <w:t xml:space="preserve"> с 64,5</w:t>
      </w:r>
      <w:r w:rsidRPr="00D90372">
        <w:rPr>
          <w:sz w:val="24"/>
          <w:szCs w:val="26"/>
        </w:rPr>
        <w:t xml:space="preserve">% </w:t>
      </w:r>
      <w:r w:rsidR="009627C8">
        <w:rPr>
          <w:sz w:val="24"/>
          <w:szCs w:val="26"/>
        </w:rPr>
        <w:t xml:space="preserve">- </w:t>
      </w:r>
      <w:r w:rsidR="009627C8">
        <w:rPr>
          <w:sz w:val="24"/>
          <w:szCs w:val="26"/>
        </w:rPr>
        <w:br/>
      </w:r>
      <w:r w:rsidRPr="00D90372">
        <w:rPr>
          <w:sz w:val="24"/>
          <w:szCs w:val="26"/>
        </w:rPr>
        <w:t>в 2017 году до 74,0%</w:t>
      </w:r>
      <w:r w:rsidR="009627C8">
        <w:rPr>
          <w:sz w:val="24"/>
          <w:szCs w:val="26"/>
        </w:rPr>
        <w:t xml:space="preserve"> - в 2018 году</w:t>
      </w:r>
      <w:r w:rsidRPr="00D90372">
        <w:rPr>
          <w:sz w:val="24"/>
          <w:szCs w:val="26"/>
        </w:rPr>
        <w:t xml:space="preserve">. За год показатели уровня рентабельности к затратам на производство товаров, работ, услуг </w:t>
      </w:r>
      <w:r w:rsidR="009627C8">
        <w:rPr>
          <w:sz w:val="24"/>
          <w:szCs w:val="26"/>
        </w:rPr>
        <w:t xml:space="preserve">выросли </w:t>
      </w:r>
      <w:r w:rsidRPr="00D90372">
        <w:rPr>
          <w:sz w:val="24"/>
          <w:szCs w:val="26"/>
        </w:rPr>
        <w:t xml:space="preserve">с 5,7% до 6,0%; к выручке от продажи </w:t>
      </w:r>
      <w:r w:rsidR="009627C8">
        <w:rPr>
          <w:sz w:val="24"/>
          <w:szCs w:val="26"/>
        </w:rPr>
        <w:t xml:space="preserve">- </w:t>
      </w:r>
      <w:r w:rsidRPr="00D90372">
        <w:rPr>
          <w:sz w:val="24"/>
          <w:szCs w:val="26"/>
        </w:rPr>
        <w:t>с 5,4% до 5,6%.</w:t>
      </w:r>
      <w:r>
        <w:rPr>
          <w:sz w:val="24"/>
          <w:szCs w:val="26"/>
        </w:rPr>
        <w:t xml:space="preserve"> </w:t>
      </w:r>
      <w:r w:rsidRPr="00D90372">
        <w:rPr>
          <w:sz w:val="24"/>
          <w:szCs w:val="26"/>
        </w:rPr>
        <w:t>По сведения</w:t>
      </w:r>
      <w:r w:rsidR="00B95F80">
        <w:rPr>
          <w:sz w:val="24"/>
          <w:szCs w:val="26"/>
        </w:rPr>
        <w:t>м</w:t>
      </w:r>
      <w:r w:rsidRPr="00D90372">
        <w:rPr>
          <w:sz w:val="24"/>
          <w:szCs w:val="26"/>
        </w:rPr>
        <w:t xml:space="preserve"> налоговых органов крупнейшими плательщиками налога на прибыль с территории города Твери в 2018 году </w:t>
      </w:r>
      <w:r w:rsidR="009627C8">
        <w:rPr>
          <w:sz w:val="24"/>
          <w:szCs w:val="26"/>
        </w:rPr>
        <w:t>стали</w:t>
      </w:r>
      <w:r w:rsidRPr="00D90372">
        <w:rPr>
          <w:sz w:val="24"/>
          <w:szCs w:val="26"/>
        </w:rPr>
        <w:t>:</w:t>
      </w:r>
      <w:r w:rsidRPr="006D3975">
        <w:rPr>
          <w:color w:val="000000"/>
          <w:sz w:val="24"/>
        </w:rPr>
        <w:t xml:space="preserve"> </w:t>
      </w:r>
      <w:r w:rsidRPr="003A323A">
        <w:rPr>
          <w:color w:val="000000"/>
          <w:sz w:val="24"/>
        </w:rPr>
        <w:t>ОАО «Тверской вагоностроительный завод»</w:t>
      </w:r>
      <w:r>
        <w:rPr>
          <w:color w:val="000000"/>
          <w:sz w:val="24"/>
        </w:rPr>
        <w:t xml:space="preserve"> (12% - доля в общей сумме поступлений); </w:t>
      </w:r>
      <w:r w:rsidRPr="003A323A">
        <w:rPr>
          <w:color w:val="000000"/>
          <w:sz w:val="24"/>
        </w:rPr>
        <w:t>ПАО «Сбербанк России»</w:t>
      </w:r>
      <w:r>
        <w:rPr>
          <w:color w:val="000000"/>
          <w:sz w:val="24"/>
        </w:rPr>
        <w:t xml:space="preserve"> (8,7%); </w:t>
      </w:r>
      <w:r w:rsidRPr="003A323A">
        <w:rPr>
          <w:color w:val="000000"/>
          <w:sz w:val="24"/>
        </w:rPr>
        <w:t>АО «Диэлектрические кабельные системы»</w:t>
      </w:r>
      <w:r>
        <w:rPr>
          <w:color w:val="000000"/>
          <w:sz w:val="24"/>
        </w:rPr>
        <w:t xml:space="preserve"> (</w:t>
      </w:r>
      <w:r w:rsidRPr="003A323A">
        <w:rPr>
          <w:color w:val="000000"/>
          <w:sz w:val="24"/>
        </w:rPr>
        <w:t>8,2</w:t>
      </w:r>
      <w:r>
        <w:rPr>
          <w:color w:val="000000"/>
          <w:sz w:val="24"/>
        </w:rPr>
        <w:t xml:space="preserve">%); на долю </w:t>
      </w:r>
      <w:r w:rsidRPr="003A323A">
        <w:rPr>
          <w:color w:val="000000"/>
          <w:sz w:val="24"/>
        </w:rPr>
        <w:t>ОАО «Сургутнефтегаз»</w:t>
      </w:r>
      <w:r>
        <w:rPr>
          <w:color w:val="000000"/>
          <w:sz w:val="24"/>
        </w:rPr>
        <w:t xml:space="preserve"> </w:t>
      </w:r>
      <w:proofErr w:type="gramStart"/>
      <w:r>
        <w:rPr>
          <w:color w:val="000000"/>
          <w:sz w:val="24"/>
        </w:rPr>
        <w:t xml:space="preserve">и </w:t>
      </w:r>
      <w:r w:rsidRPr="003A323A">
        <w:rPr>
          <w:color w:val="000000"/>
          <w:sz w:val="24"/>
        </w:rPr>
        <w:t>ООО</w:t>
      </w:r>
      <w:proofErr w:type="gramEnd"/>
      <w:r w:rsidRPr="003A323A">
        <w:rPr>
          <w:color w:val="000000"/>
          <w:sz w:val="24"/>
        </w:rPr>
        <w:t xml:space="preserve"> «ПК транспортные системы»</w:t>
      </w:r>
      <w:r>
        <w:rPr>
          <w:color w:val="000000"/>
          <w:sz w:val="24"/>
        </w:rPr>
        <w:t xml:space="preserve"> пришлось по 4,0% поступлений налога на прибыль. </w:t>
      </w:r>
    </w:p>
    <w:p w:rsidR="000037C3" w:rsidRPr="000C6E42" w:rsidRDefault="000037C3" w:rsidP="000037C3">
      <w:pPr>
        <w:autoSpaceDE w:val="0"/>
        <w:autoSpaceDN w:val="0"/>
        <w:adjustRightInd w:val="0"/>
        <w:spacing w:line="312" w:lineRule="auto"/>
        <w:ind w:firstLine="709"/>
        <w:jc w:val="both"/>
        <w:rPr>
          <w:sz w:val="24"/>
          <w:szCs w:val="28"/>
        </w:rPr>
      </w:pPr>
      <w:r w:rsidRPr="000C6E42">
        <w:rPr>
          <w:sz w:val="24"/>
          <w:szCs w:val="28"/>
        </w:rPr>
        <w:t>Оценка 2019 года проведена на основании данных налоговой отчетности о начислениях по налогу на прибыль</w:t>
      </w:r>
      <w:r w:rsidR="009627C8">
        <w:rPr>
          <w:sz w:val="24"/>
          <w:szCs w:val="28"/>
        </w:rPr>
        <w:t xml:space="preserve"> и </w:t>
      </w:r>
      <w:r w:rsidRPr="000C6E42">
        <w:rPr>
          <w:sz w:val="24"/>
          <w:szCs w:val="28"/>
        </w:rPr>
        <w:t xml:space="preserve">сведений, представленных предприятиями и организациями в рамках прогноза. За 7 месяцев 2019 года поступления по налогу на прибыль в бюджет Тверской области возросли на 2,0% к </w:t>
      </w:r>
      <w:r w:rsidR="009627C8">
        <w:rPr>
          <w:sz w:val="24"/>
          <w:szCs w:val="28"/>
        </w:rPr>
        <w:t xml:space="preserve">прошлогоднему </w:t>
      </w:r>
      <w:r w:rsidRPr="000C6E42">
        <w:rPr>
          <w:sz w:val="24"/>
          <w:szCs w:val="28"/>
        </w:rPr>
        <w:t>периоду и составили 4,1 млрд. рублей.</w:t>
      </w:r>
    </w:p>
    <w:p w:rsidR="000037C3" w:rsidRPr="00215FDE" w:rsidRDefault="00DD2CD6" w:rsidP="000037C3">
      <w:pPr>
        <w:spacing w:line="312" w:lineRule="auto"/>
        <w:ind w:firstLine="720"/>
        <w:jc w:val="both"/>
        <w:rPr>
          <w:sz w:val="24"/>
          <w:szCs w:val="26"/>
        </w:rPr>
      </w:pPr>
      <w:proofErr w:type="gramStart"/>
      <w:r w:rsidRPr="00E0019A">
        <w:rPr>
          <w:sz w:val="24"/>
          <w:szCs w:val="24"/>
        </w:rPr>
        <w:t>Рост налогооблагаемой прибыли в планируемом периоде будет обеспечиваться в основном такими предприятиями города как</w:t>
      </w:r>
      <w:r w:rsidR="00AE7774" w:rsidRPr="00E0019A">
        <w:rPr>
          <w:sz w:val="24"/>
          <w:szCs w:val="24"/>
        </w:rPr>
        <w:t xml:space="preserve"> </w:t>
      </w:r>
      <w:r w:rsidR="000037C3" w:rsidRPr="00215FDE">
        <w:rPr>
          <w:sz w:val="24"/>
          <w:szCs w:val="26"/>
        </w:rPr>
        <w:t>АО «Диэлектрические кабельные системы»</w:t>
      </w:r>
      <w:r w:rsidR="00B95F80">
        <w:rPr>
          <w:sz w:val="24"/>
          <w:szCs w:val="26"/>
        </w:rPr>
        <w:t xml:space="preserve"> - </w:t>
      </w:r>
      <w:r w:rsidR="000037C3" w:rsidRPr="00215FDE">
        <w:rPr>
          <w:sz w:val="24"/>
          <w:szCs w:val="26"/>
        </w:rPr>
        <w:t xml:space="preserve">прогнозирует увеличение данного показателя до 4 082,0 млн. рублей или на 23% </w:t>
      </w:r>
      <w:r w:rsidR="009627C8">
        <w:rPr>
          <w:sz w:val="24"/>
          <w:szCs w:val="26"/>
        </w:rPr>
        <w:t xml:space="preserve">больше </w:t>
      </w:r>
      <w:r w:rsidR="000037C3" w:rsidRPr="00215FDE">
        <w:rPr>
          <w:sz w:val="24"/>
          <w:szCs w:val="26"/>
        </w:rPr>
        <w:t xml:space="preserve">к 2018 году; ОАО «Тверской вагоностроительный завод» </w:t>
      </w:r>
      <w:r w:rsidR="009627C8">
        <w:rPr>
          <w:sz w:val="24"/>
          <w:szCs w:val="26"/>
        </w:rPr>
        <w:t xml:space="preserve">- </w:t>
      </w:r>
      <w:r w:rsidR="000037C3" w:rsidRPr="00215FDE">
        <w:rPr>
          <w:sz w:val="24"/>
          <w:szCs w:val="26"/>
        </w:rPr>
        <w:t>на 2,1%</w:t>
      </w:r>
      <w:r w:rsidR="00215FDE" w:rsidRPr="00215FDE">
        <w:rPr>
          <w:sz w:val="24"/>
          <w:szCs w:val="26"/>
        </w:rPr>
        <w:t xml:space="preserve"> </w:t>
      </w:r>
      <w:r w:rsidR="000037C3" w:rsidRPr="00215FDE">
        <w:rPr>
          <w:sz w:val="24"/>
          <w:szCs w:val="26"/>
        </w:rPr>
        <w:t xml:space="preserve"> до 4 952,5 млн. рублей; ЗАО </w:t>
      </w:r>
      <w:r w:rsidR="008B1069">
        <w:rPr>
          <w:sz w:val="24"/>
          <w:szCs w:val="26"/>
        </w:rPr>
        <w:t>«</w:t>
      </w:r>
      <w:r w:rsidR="000037C3" w:rsidRPr="00215FDE">
        <w:rPr>
          <w:sz w:val="24"/>
          <w:szCs w:val="26"/>
        </w:rPr>
        <w:t xml:space="preserve">Тверской экскаватор» </w:t>
      </w:r>
      <w:r w:rsidR="009627C8">
        <w:rPr>
          <w:sz w:val="24"/>
          <w:szCs w:val="26"/>
        </w:rPr>
        <w:t xml:space="preserve">- </w:t>
      </w:r>
      <w:r w:rsidR="000037C3" w:rsidRPr="00215FDE">
        <w:rPr>
          <w:sz w:val="24"/>
          <w:szCs w:val="26"/>
        </w:rPr>
        <w:t>в 3,8 раза до 625,3 млн. рублей</w:t>
      </w:r>
      <w:r w:rsidR="00B95F80" w:rsidRPr="00B95F80">
        <w:rPr>
          <w:sz w:val="24"/>
          <w:szCs w:val="26"/>
        </w:rPr>
        <w:t>;</w:t>
      </w:r>
      <w:proofErr w:type="gramEnd"/>
      <w:r w:rsidR="000037C3" w:rsidRPr="00215FDE">
        <w:rPr>
          <w:sz w:val="24"/>
          <w:szCs w:val="26"/>
        </w:rPr>
        <w:t xml:space="preserve"> ООО «Система-5» </w:t>
      </w:r>
      <w:r w:rsidR="008B1069">
        <w:rPr>
          <w:sz w:val="24"/>
          <w:szCs w:val="26"/>
        </w:rPr>
        <w:t>-</w:t>
      </w:r>
      <w:r w:rsidR="000037C3" w:rsidRPr="00215FDE">
        <w:rPr>
          <w:sz w:val="24"/>
          <w:szCs w:val="26"/>
        </w:rPr>
        <w:t xml:space="preserve"> на 5% до 554 млн. рублей</w:t>
      </w:r>
      <w:r w:rsidR="00B95F80" w:rsidRPr="00B95F80">
        <w:rPr>
          <w:sz w:val="24"/>
          <w:szCs w:val="26"/>
        </w:rPr>
        <w:t>;</w:t>
      </w:r>
      <w:r w:rsidR="000037C3" w:rsidRPr="00215FDE">
        <w:rPr>
          <w:sz w:val="24"/>
          <w:szCs w:val="26"/>
        </w:rPr>
        <w:t xml:space="preserve"> ОАО «</w:t>
      </w:r>
      <w:proofErr w:type="spellStart"/>
      <w:r w:rsidR="000037C3" w:rsidRPr="00215FDE">
        <w:rPr>
          <w:sz w:val="24"/>
          <w:szCs w:val="26"/>
        </w:rPr>
        <w:t>Сибур</w:t>
      </w:r>
      <w:proofErr w:type="spellEnd"/>
      <w:r w:rsidR="000037C3" w:rsidRPr="00215FDE">
        <w:rPr>
          <w:sz w:val="24"/>
          <w:szCs w:val="26"/>
        </w:rPr>
        <w:t xml:space="preserve">-ПЭТФ» </w:t>
      </w:r>
      <w:r w:rsidR="009627C8">
        <w:rPr>
          <w:sz w:val="24"/>
          <w:szCs w:val="26"/>
        </w:rPr>
        <w:t xml:space="preserve">- </w:t>
      </w:r>
      <w:r w:rsidR="000037C3" w:rsidRPr="00215FDE">
        <w:rPr>
          <w:sz w:val="24"/>
          <w:szCs w:val="26"/>
        </w:rPr>
        <w:t>на 40% до 86,1</w:t>
      </w:r>
      <w:r w:rsidR="000037C3" w:rsidRPr="00215FDE">
        <w:rPr>
          <w:color w:val="002060"/>
          <w:sz w:val="24"/>
          <w:szCs w:val="26"/>
        </w:rPr>
        <w:t xml:space="preserve"> </w:t>
      </w:r>
      <w:r w:rsidR="000037C3" w:rsidRPr="00215FDE">
        <w:rPr>
          <w:sz w:val="24"/>
          <w:szCs w:val="26"/>
        </w:rPr>
        <w:t>млн. рублей</w:t>
      </w:r>
      <w:r w:rsidR="00B95F80" w:rsidRPr="00B95F80">
        <w:rPr>
          <w:sz w:val="24"/>
          <w:szCs w:val="26"/>
        </w:rPr>
        <w:t>;</w:t>
      </w:r>
      <w:r w:rsidR="000037C3" w:rsidRPr="00215FDE">
        <w:rPr>
          <w:sz w:val="24"/>
          <w:szCs w:val="26"/>
        </w:rPr>
        <w:t xml:space="preserve"> ООО «ДКС развитие» </w:t>
      </w:r>
      <w:r w:rsidR="009627C8">
        <w:rPr>
          <w:sz w:val="24"/>
          <w:szCs w:val="26"/>
        </w:rPr>
        <w:t xml:space="preserve">- </w:t>
      </w:r>
      <w:r w:rsidR="000037C3" w:rsidRPr="00215FDE">
        <w:rPr>
          <w:sz w:val="24"/>
          <w:szCs w:val="26"/>
        </w:rPr>
        <w:t>на 10,0% до 95,0 млн. рублей.</w:t>
      </w:r>
      <w:r w:rsidR="00AE7774">
        <w:rPr>
          <w:sz w:val="24"/>
          <w:szCs w:val="26"/>
        </w:rPr>
        <w:t xml:space="preserve"> </w:t>
      </w:r>
      <w:r w:rsidR="000037C3" w:rsidRPr="00D90372">
        <w:rPr>
          <w:sz w:val="24"/>
          <w:szCs w:val="26"/>
        </w:rPr>
        <w:t>В</w:t>
      </w:r>
      <w:r w:rsidR="00F96DBE">
        <w:rPr>
          <w:sz w:val="24"/>
          <w:szCs w:val="26"/>
        </w:rPr>
        <w:t>месте с тем в ряде</w:t>
      </w:r>
      <w:r w:rsidR="000037C3" w:rsidRPr="00D90372">
        <w:rPr>
          <w:sz w:val="24"/>
          <w:szCs w:val="26"/>
        </w:rPr>
        <w:t xml:space="preserve"> предприятий ожидается снижение налогооблагаемой прибыли в текущем году: </w:t>
      </w:r>
      <w:r w:rsidR="000037C3" w:rsidRPr="00215FDE">
        <w:rPr>
          <w:sz w:val="24"/>
          <w:szCs w:val="26"/>
        </w:rPr>
        <w:t>АО «</w:t>
      </w:r>
      <w:proofErr w:type="spellStart"/>
      <w:r w:rsidR="000037C3" w:rsidRPr="00215FDE">
        <w:rPr>
          <w:sz w:val="24"/>
          <w:szCs w:val="26"/>
        </w:rPr>
        <w:t>Вагонкомплект</w:t>
      </w:r>
      <w:proofErr w:type="spellEnd"/>
      <w:r w:rsidR="000037C3" w:rsidRPr="00215FDE">
        <w:rPr>
          <w:sz w:val="24"/>
          <w:szCs w:val="26"/>
        </w:rPr>
        <w:t>»</w:t>
      </w:r>
      <w:r w:rsidR="00215FDE" w:rsidRPr="00215FDE">
        <w:rPr>
          <w:sz w:val="24"/>
          <w:szCs w:val="26"/>
        </w:rPr>
        <w:t>,</w:t>
      </w:r>
      <w:r w:rsidR="000037C3" w:rsidRPr="00215FDE">
        <w:rPr>
          <w:sz w:val="24"/>
          <w:szCs w:val="26"/>
        </w:rPr>
        <w:t xml:space="preserve"> ООО «</w:t>
      </w:r>
      <w:proofErr w:type="spellStart"/>
      <w:r w:rsidR="000037C3" w:rsidRPr="00215FDE">
        <w:rPr>
          <w:sz w:val="24"/>
          <w:szCs w:val="26"/>
        </w:rPr>
        <w:t>ТрансТех</w:t>
      </w:r>
      <w:proofErr w:type="spellEnd"/>
      <w:r w:rsidR="000037C3" w:rsidRPr="00215FDE">
        <w:rPr>
          <w:sz w:val="24"/>
          <w:szCs w:val="26"/>
        </w:rPr>
        <w:t>»</w:t>
      </w:r>
      <w:r w:rsidR="00215FDE" w:rsidRPr="00215FDE">
        <w:rPr>
          <w:sz w:val="24"/>
          <w:szCs w:val="26"/>
        </w:rPr>
        <w:t xml:space="preserve">, </w:t>
      </w:r>
      <w:r w:rsidR="000037C3" w:rsidRPr="00215FDE">
        <w:rPr>
          <w:sz w:val="24"/>
          <w:szCs w:val="26"/>
        </w:rPr>
        <w:t>ОАО «Тверской полиграфкомбинат, ООО «</w:t>
      </w:r>
      <w:proofErr w:type="spellStart"/>
      <w:r w:rsidR="000037C3" w:rsidRPr="00215FDE">
        <w:rPr>
          <w:sz w:val="24"/>
          <w:szCs w:val="26"/>
        </w:rPr>
        <w:t>Нефтегазгеофизика</w:t>
      </w:r>
      <w:proofErr w:type="spellEnd"/>
      <w:r w:rsidR="000037C3" w:rsidRPr="00215FDE">
        <w:rPr>
          <w:sz w:val="24"/>
          <w:szCs w:val="26"/>
        </w:rPr>
        <w:t>»</w:t>
      </w:r>
      <w:r w:rsidR="00215FDE" w:rsidRPr="00215FDE">
        <w:rPr>
          <w:sz w:val="24"/>
          <w:szCs w:val="26"/>
        </w:rPr>
        <w:t>,</w:t>
      </w:r>
      <w:r w:rsidR="000037C3" w:rsidRPr="00215FDE">
        <w:rPr>
          <w:sz w:val="24"/>
          <w:szCs w:val="26"/>
        </w:rPr>
        <w:t xml:space="preserve"> ООО «Тверь Водоканал».</w:t>
      </w:r>
    </w:p>
    <w:p w:rsidR="00AE7774" w:rsidRDefault="00AE7774" w:rsidP="00AE7774">
      <w:pPr>
        <w:spacing w:line="312" w:lineRule="auto"/>
        <w:jc w:val="both"/>
        <w:rPr>
          <w:sz w:val="24"/>
          <w:szCs w:val="26"/>
        </w:rPr>
      </w:pPr>
      <w:r w:rsidRPr="00E0019A">
        <w:rPr>
          <w:i/>
          <w:noProof/>
          <w:color w:val="00B050"/>
          <w:sz w:val="24"/>
          <w:szCs w:val="24"/>
          <w:shd w:val="clear" w:color="auto" w:fill="215868" w:themeFill="accent5" w:themeFillShade="80"/>
        </w:rPr>
        <w:drawing>
          <wp:inline distT="0" distB="0" distL="0" distR="0" wp14:anchorId="341790AD" wp14:editId="071616C4">
            <wp:extent cx="6481267" cy="2216506"/>
            <wp:effectExtent l="0" t="0" r="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E7774" w:rsidRPr="008D3719" w:rsidRDefault="00AE7774" w:rsidP="00AE7774">
      <w:pPr>
        <w:spacing w:line="288" w:lineRule="auto"/>
        <w:ind w:firstLine="720"/>
        <w:jc w:val="both"/>
        <w:rPr>
          <w:color w:val="00B050"/>
          <w:sz w:val="24"/>
          <w:szCs w:val="24"/>
        </w:rPr>
      </w:pPr>
      <w:r w:rsidRPr="00A03AD0">
        <w:rPr>
          <w:sz w:val="24"/>
          <w:szCs w:val="24"/>
        </w:rPr>
        <w:lastRenderedPageBreak/>
        <w:t>В результате</w:t>
      </w:r>
      <w:r w:rsidR="00B95F80">
        <w:rPr>
          <w:sz w:val="24"/>
          <w:szCs w:val="24"/>
        </w:rPr>
        <w:t>,</w:t>
      </w:r>
      <w:r w:rsidRPr="00A03AD0">
        <w:rPr>
          <w:sz w:val="24"/>
          <w:szCs w:val="24"/>
        </w:rPr>
        <w:t xml:space="preserve"> в прогнозируемом периоде 20</w:t>
      </w:r>
      <w:r w:rsidR="00E0019A" w:rsidRPr="00A03AD0">
        <w:rPr>
          <w:sz w:val="24"/>
          <w:szCs w:val="24"/>
        </w:rPr>
        <w:t>20</w:t>
      </w:r>
      <w:r w:rsidRPr="00A03AD0">
        <w:rPr>
          <w:sz w:val="24"/>
          <w:szCs w:val="24"/>
        </w:rPr>
        <w:t>-202</w:t>
      </w:r>
      <w:r w:rsidR="00E0019A" w:rsidRPr="00A03AD0">
        <w:rPr>
          <w:sz w:val="24"/>
          <w:szCs w:val="24"/>
        </w:rPr>
        <w:t>2</w:t>
      </w:r>
      <w:r w:rsidRPr="00A03AD0">
        <w:rPr>
          <w:sz w:val="24"/>
          <w:szCs w:val="24"/>
        </w:rPr>
        <w:t xml:space="preserve"> годов ожидаются темпы роста на уровне 10</w:t>
      </w:r>
      <w:r w:rsidR="00A03AD0">
        <w:rPr>
          <w:sz w:val="24"/>
          <w:szCs w:val="24"/>
        </w:rPr>
        <w:t>6</w:t>
      </w:r>
      <w:r w:rsidRPr="00A03AD0">
        <w:rPr>
          <w:sz w:val="24"/>
          <w:szCs w:val="24"/>
        </w:rPr>
        <w:t>%–10</w:t>
      </w:r>
      <w:r w:rsidR="00E0019A" w:rsidRPr="00A03AD0">
        <w:rPr>
          <w:sz w:val="24"/>
          <w:szCs w:val="24"/>
        </w:rPr>
        <w:t>8</w:t>
      </w:r>
      <w:r w:rsidRPr="00A03AD0">
        <w:rPr>
          <w:sz w:val="24"/>
          <w:szCs w:val="24"/>
        </w:rPr>
        <w:t xml:space="preserve">%. В долгосрочном периоде темп роста налогооблагаемой прибыли рассчитан с учетом прогнозируемой величины среднегодовой инфляции и тенденций финансового состояния предприятий и организаций города. </w:t>
      </w:r>
    </w:p>
    <w:p w:rsidR="00AE7774" w:rsidRPr="00F96DBE" w:rsidRDefault="00AE7774" w:rsidP="00AE7774">
      <w:pPr>
        <w:autoSpaceDE w:val="0"/>
        <w:autoSpaceDN w:val="0"/>
        <w:adjustRightInd w:val="0"/>
        <w:spacing w:line="288" w:lineRule="auto"/>
        <w:ind w:firstLine="709"/>
        <w:jc w:val="both"/>
        <w:rPr>
          <w:sz w:val="18"/>
          <w:szCs w:val="24"/>
        </w:rPr>
      </w:pPr>
    </w:p>
    <w:p w:rsidR="00B50D66" w:rsidRPr="00E36CBF" w:rsidRDefault="00B50D66" w:rsidP="00B50D66">
      <w:pPr>
        <w:autoSpaceDE w:val="0"/>
        <w:autoSpaceDN w:val="0"/>
        <w:adjustRightInd w:val="0"/>
        <w:spacing w:line="288" w:lineRule="auto"/>
        <w:jc w:val="both"/>
        <w:rPr>
          <w:b/>
          <w:sz w:val="24"/>
          <w:szCs w:val="24"/>
        </w:rPr>
      </w:pPr>
      <w:r w:rsidRPr="00E36CBF">
        <w:rPr>
          <w:b/>
          <w:sz w:val="24"/>
          <w:szCs w:val="24"/>
        </w:rPr>
        <w:t>9. Объем инвестиций в основной капитал</w:t>
      </w:r>
    </w:p>
    <w:p w:rsidR="00B50D66" w:rsidRPr="00F96DBE" w:rsidRDefault="00B50D66" w:rsidP="00B50D66">
      <w:pPr>
        <w:autoSpaceDE w:val="0"/>
        <w:autoSpaceDN w:val="0"/>
        <w:adjustRightInd w:val="0"/>
        <w:spacing w:line="288" w:lineRule="auto"/>
        <w:jc w:val="both"/>
        <w:rPr>
          <w:sz w:val="14"/>
          <w:szCs w:val="24"/>
        </w:rPr>
      </w:pPr>
    </w:p>
    <w:p w:rsidR="00B50D66" w:rsidRDefault="00B50D66" w:rsidP="00B50D66">
      <w:pPr>
        <w:spacing w:line="288" w:lineRule="auto"/>
        <w:ind w:firstLine="720"/>
        <w:jc w:val="both"/>
        <w:rPr>
          <w:sz w:val="24"/>
          <w:szCs w:val="24"/>
        </w:rPr>
      </w:pPr>
      <w:r>
        <w:rPr>
          <w:sz w:val="24"/>
          <w:szCs w:val="24"/>
        </w:rPr>
        <w:t>По данным Территориального органа Федеральной службы государственной статистики по Тверской области объём инвестиций в основной капитал по кругу крупных и средних</w:t>
      </w:r>
      <w:r>
        <w:rPr>
          <w:color w:val="FF0000"/>
          <w:sz w:val="24"/>
          <w:szCs w:val="24"/>
        </w:rPr>
        <w:t xml:space="preserve"> </w:t>
      </w:r>
      <w:r>
        <w:rPr>
          <w:sz w:val="24"/>
          <w:szCs w:val="24"/>
        </w:rPr>
        <w:t>организаций города Твери за январь-декабрь 2018 года составил</w:t>
      </w:r>
      <w:r>
        <w:rPr>
          <w:color w:val="FF0000"/>
          <w:sz w:val="24"/>
          <w:szCs w:val="24"/>
        </w:rPr>
        <w:t xml:space="preserve"> </w:t>
      </w:r>
      <w:r>
        <w:rPr>
          <w:color w:val="000000"/>
          <w:sz w:val="24"/>
          <w:szCs w:val="24"/>
        </w:rPr>
        <w:t>18,6 млрд. рублей, что в сопоставимых ценах на 18,9% выше уровня</w:t>
      </w:r>
      <w:r w:rsidR="009A7648">
        <w:rPr>
          <w:color w:val="000000"/>
          <w:sz w:val="24"/>
          <w:szCs w:val="24"/>
        </w:rPr>
        <w:t xml:space="preserve"> предыдущего года</w:t>
      </w:r>
      <w:r>
        <w:rPr>
          <w:color w:val="000000"/>
          <w:sz w:val="24"/>
          <w:szCs w:val="24"/>
        </w:rPr>
        <w:t xml:space="preserve">. </w:t>
      </w:r>
      <w:r w:rsidR="009A7648">
        <w:rPr>
          <w:color w:val="000000"/>
          <w:sz w:val="24"/>
          <w:szCs w:val="24"/>
        </w:rPr>
        <w:t>И</w:t>
      </w:r>
      <w:r>
        <w:rPr>
          <w:color w:val="000000"/>
          <w:sz w:val="24"/>
          <w:szCs w:val="24"/>
        </w:rPr>
        <w:t xml:space="preserve">нвестиции по городу Твери </w:t>
      </w:r>
      <w:r w:rsidR="009A7648">
        <w:rPr>
          <w:color w:val="000000"/>
          <w:sz w:val="24"/>
          <w:szCs w:val="24"/>
        </w:rPr>
        <w:t xml:space="preserve">занимают </w:t>
      </w:r>
      <w:r>
        <w:rPr>
          <w:color w:val="000000"/>
          <w:sz w:val="24"/>
          <w:szCs w:val="24"/>
        </w:rPr>
        <w:t xml:space="preserve">22,8% от общего объема инвестиций в основной капитал по Тверской </w:t>
      </w:r>
      <w:r>
        <w:rPr>
          <w:sz w:val="24"/>
          <w:szCs w:val="24"/>
        </w:rPr>
        <w:t>области.</w:t>
      </w:r>
    </w:p>
    <w:p w:rsidR="00B50D66" w:rsidRDefault="00B50D66" w:rsidP="00B50D66">
      <w:pPr>
        <w:spacing w:line="288" w:lineRule="auto"/>
        <w:ind w:firstLine="720"/>
        <w:jc w:val="both"/>
        <w:rPr>
          <w:sz w:val="24"/>
          <w:szCs w:val="24"/>
        </w:rPr>
      </w:pPr>
      <w:r>
        <w:rPr>
          <w:sz w:val="24"/>
          <w:szCs w:val="24"/>
        </w:rPr>
        <w:t xml:space="preserve">Структура капитальных вложений крупных и средних </w:t>
      </w:r>
      <w:r w:rsidR="009A7648">
        <w:rPr>
          <w:sz w:val="24"/>
          <w:szCs w:val="24"/>
        </w:rPr>
        <w:t>организаций города</w:t>
      </w:r>
      <w:r>
        <w:rPr>
          <w:sz w:val="24"/>
          <w:szCs w:val="24"/>
        </w:rPr>
        <w:t xml:space="preserve"> Твери по направлениям инвестирования в 2018 году сложилась следующим образом:</w:t>
      </w:r>
    </w:p>
    <w:p w:rsidR="00B50D66" w:rsidRDefault="00B50D66" w:rsidP="00B50D66">
      <w:pPr>
        <w:numPr>
          <w:ilvl w:val="0"/>
          <w:numId w:val="44"/>
        </w:numPr>
        <w:tabs>
          <w:tab w:val="left" w:pos="851"/>
        </w:tabs>
        <w:spacing w:line="288" w:lineRule="auto"/>
        <w:ind w:left="0" w:firstLine="567"/>
        <w:jc w:val="both"/>
        <w:rPr>
          <w:sz w:val="24"/>
          <w:szCs w:val="24"/>
        </w:rPr>
      </w:pPr>
      <w:r>
        <w:rPr>
          <w:sz w:val="24"/>
          <w:szCs w:val="24"/>
        </w:rPr>
        <w:t>машины, оборудование, хозяйственный инвентарь – 6 061,1 млн. рублей (33%);</w:t>
      </w:r>
    </w:p>
    <w:p w:rsidR="00B50D66" w:rsidRDefault="00B50D66" w:rsidP="00B50D66">
      <w:pPr>
        <w:numPr>
          <w:ilvl w:val="0"/>
          <w:numId w:val="44"/>
        </w:numPr>
        <w:tabs>
          <w:tab w:val="left" w:pos="851"/>
        </w:tabs>
        <w:spacing w:line="288" w:lineRule="auto"/>
        <w:ind w:left="0" w:firstLine="567"/>
        <w:rPr>
          <w:sz w:val="24"/>
          <w:szCs w:val="24"/>
        </w:rPr>
      </w:pPr>
      <w:r>
        <w:rPr>
          <w:sz w:val="24"/>
          <w:szCs w:val="24"/>
        </w:rPr>
        <w:t>сооружения – 5 166,3 млн. рублей (28%);</w:t>
      </w:r>
    </w:p>
    <w:p w:rsidR="00B50D66" w:rsidRDefault="00B50D66" w:rsidP="00B50D66">
      <w:pPr>
        <w:numPr>
          <w:ilvl w:val="0"/>
          <w:numId w:val="44"/>
        </w:numPr>
        <w:tabs>
          <w:tab w:val="left" w:pos="851"/>
        </w:tabs>
        <w:spacing w:line="288" w:lineRule="auto"/>
        <w:ind w:left="0" w:firstLine="567"/>
        <w:rPr>
          <w:sz w:val="24"/>
          <w:szCs w:val="24"/>
        </w:rPr>
      </w:pPr>
      <w:r>
        <w:rPr>
          <w:sz w:val="24"/>
          <w:szCs w:val="24"/>
        </w:rPr>
        <w:t xml:space="preserve">здания (кроме жилых) – 3 243,7 млн. рублей (18%); </w:t>
      </w:r>
    </w:p>
    <w:p w:rsidR="00B50D66" w:rsidRDefault="00B50D66" w:rsidP="00B50D66">
      <w:pPr>
        <w:numPr>
          <w:ilvl w:val="0"/>
          <w:numId w:val="44"/>
        </w:numPr>
        <w:tabs>
          <w:tab w:val="left" w:pos="851"/>
        </w:tabs>
        <w:spacing w:line="288" w:lineRule="auto"/>
        <w:ind w:left="0" w:firstLine="567"/>
        <w:jc w:val="both"/>
        <w:rPr>
          <w:sz w:val="24"/>
          <w:szCs w:val="24"/>
        </w:rPr>
      </w:pPr>
      <w:r>
        <w:rPr>
          <w:sz w:val="24"/>
          <w:szCs w:val="24"/>
        </w:rPr>
        <w:t>транспортные средства – 1 868,1 млн. рублей (10%);</w:t>
      </w:r>
    </w:p>
    <w:p w:rsidR="00B50D66" w:rsidRDefault="00B50D66" w:rsidP="00B50D66">
      <w:pPr>
        <w:numPr>
          <w:ilvl w:val="0"/>
          <w:numId w:val="44"/>
        </w:numPr>
        <w:tabs>
          <w:tab w:val="left" w:pos="851"/>
        </w:tabs>
        <w:spacing w:line="288" w:lineRule="auto"/>
        <w:ind w:left="0" w:firstLine="567"/>
        <w:jc w:val="both"/>
        <w:rPr>
          <w:sz w:val="24"/>
          <w:szCs w:val="24"/>
        </w:rPr>
      </w:pPr>
      <w:r>
        <w:rPr>
          <w:sz w:val="24"/>
          <w:szCs w:val="24"/>
        </w:rPr>
        <w:t xml:space="preserve">информационное, компьютерное и телекоммуникационное оборудование – 1 181,9 млн. </w:t>
      </w:r>
      <w:r w:rsidR="009A7648">
        <w:rPr>
          <w:sz w:val="24"/>
          <w:szCs w:val="24"/>
        </w:rPr>
        <w:br/>
        <w:t xml:space="preserve">             </w:t>
      </w:r>
      <w:r>
        <w:rPr>
          <w:sz w:val="24"/>
          <w:szCs w:val="24"/>
        </w:rPr>
        <w:t>рублей (6%);</w:t>
      </w:r>
    </w:p>
    <w:p w:rsidR="00B50D66" w:rsidRDefault="00B50D66" w:rsidP="00B50D66">
      <w:pPr>
        <w:numPr>
          <w:ilvl w:val="0"/>
          <w:numId w:val="44"/>
        </w:numPr>
        <w:tabs>
          <w:tab w:val="left" w:pos="851"/>
        </w:tabs>
        <w:spacing w:line="288" w:lineRule="auto"/>
        <w:ind w:left="0" w:firstLine="567"/>
        <w:jc w:val="both"/>
        <w:rPr>
          <w:sz w:val="24"/>
          <w:szCs w:val="24"/>
        </w:rPr>
      </w:pPr>
      <w:r>
        <w:rPr>
          <w:sz w:val="24"/>
          <w:szCs w:val="24"/>
        </w:rPr>
        <w:t>жилища – 710,4 млн. рублей (4%);</w:t>
      </w:r>
    </w:p>
    <w:p w:rsidR="00B50D66" w:rsidRDefault="00B50D66" w:rsidP="00B50D66">
      <w:pPr>
        <w:numPr>
          <w:ilvl w:val="0"/>
          <w:numId w:val="44"/>
        </w:numPr>
        <w:tabs>
          <w:tab w:val="left" w:pos="851"/>
        </w:tabs>
        <w:spacing w:line="288" w:lineRule="auto"/>
        <w:ind w:left="0" w:firstLine="567"/>
        <w:jc w:val="both"/>
        <w:rPr>
          <w:sz w:val="24"/>
          <w:szCs w:val="24"/>
        </w:rPr>
      </w:pPr>
      <w:r>
        <w:rPr>
          <w:sz w:val="24"/>
          <w:szCs w:val="24"/>
        </w:rPr>
        <w:t>объекты интеллектуальной собственности и прочее – 341,8 млн. рублей (1%).</w:t>
      </w:r>
    </w:p>
    <w:p w:rsidR="00B50D66" w:rsidRDefault="00B50D66" w:rsidP="00B50D66">
      <w:pPr>
        <w:spacing w:line="288" w:lineRule="auto"/>
        <w:ind w:firstLine="709"/>
        <w:jc w:val="both"/>
        <w:rPr>
          <w:sz w:val="24"/>
          <w:szCs w:val="24"/>
        </w:rPr>
      </w:pPr>
      <w:r>
        <w:rPr>
          <w:sz w:val="24"/>
          <w:szCs w:val="24"/>
        </w:rPr>
        <w:t>В разрезе видов экономической деятельности приоритетными направлениями для инвесторов стали:</w:t>
      </w:r>
    </w:p>
    <w:p w:rsidR="00B50D66" w:rsidRDefault="00B50D66" w:rsidP="00B50D66">
      <w:pPr>
        <w:spacing w:line="288" w:lineRule="auto"/>
        <w:ind w:left="709" w:hanging="142"/>
        <w:jc w:val="both"/>
        <w:rPr>
          <w:color w:val="000000"/>
          <w:sz w:val="24"/>
          <w:szCs w:val="24"/>
        </w:rPr>
      </w:pPr>
      <w:r>
        <w:rPr>
          <w:color w:val="000000"/>
          <w:sz w:val="24"/>
          <w:szCs w:val="24"/>
        </w:rPr>
        <w:t>- «Обрабатывающие производства» (22,9% от общего объема инвестиций);</w:t>
      </w:r>
    </w:p>
    <w:p w:rsidR="00B50D66" w:rsidRDefault="00B50D66" w:rsidP="00B50D66">
      <w:pPr>
        <w:spacing w:line="288" w:lineRule="auto"/>
        <w:ind w:left="709" w:hanging="142"/>
        <w:jc w:val="both"/>
        <w:rPr>
          <w:color w:val="000000"/>
          <w:sz w:val="24"/>
          <w:szCs w:val="24"/>
        </w:rPr>
      </w:pPr>
      <w:r>
        <w:rPr>
          <w:color w:val="000000"/>
          <w:sz w:val="24"/>
          <w:szCs w:val="24"/>
        </w:rPr>
        <w:t>- «Торговля оптовая и розничная; ремонт автотранспортных средств и мотоциклов» (21,5%);</w:t>
      </w:r>
    </w:p>
    <w:p w:rsidR="00B50D66" w:rsidRDefault="00B50D66" w:rsidP="00B50D66">
      <w:pPr>
        <w:spacing w:line="288" w:lineRule="auto"/>
        <w:ind w:left="709" w:hanging="142"/>
        <w:jc w:val="both"/>
        <w:rPr>
          <w:color w:val="000000"/>
          <w:sz w:val="24"/>
          <w:szCs w:val="24"/>
        </w:rPr>
      </w:pPr>
      <w:r>
        <w:rPr>
          <w:color w:val="000000"/>
          <w:sz w:val="24"/>
          <w:szCs w:val="24"/>
        </w:rPr>
        <w:t>- «Транспортировка и хранение» (14,8%).</w:t>
      </w:r>
    </w:p>
    <w:p w:rsidR="00B50D66" w:rsidRDefault="00B50D66" w:rsidP="00B50D66">
      <w:pPr>
        <w:spacing w:line="288" w:lineRule="auto"/>
        <w:ind w:firstLine="709"/>
        <w:jc w:val="both"/>
        <w:rPr>
          <w:color w:val="000000"/>
          <w:sz w:val="24"/>
          <w:szCs w:val="24"/>
        </w:rPr>
      </w:pPr>
      <w:r>
        <w:rPr>
          <w:color w:val="000000"/>
          <w:sz w:val="24"/>
          <w:szCs w:val="24"/>
        </w:rPr>
        <w:t>Существенные доли инвестиций вложены в деятельность «Обеспечение электроэнергией, газом и паром; кондиционирование воздуха» (8,3%) и «Деятельность по операциям с недвижимым имуществом» (7,4%).</w:t>
      </w:r>
    </w:p>
    <w:p w:rsidR="00B50D66" w:rsidRDefault="00B50D66" w:rsidP="00B50D66">
      <w:pPr>
        <w:spacing w:line="288" w:lineRule="auto"/>
        <w:ind w:firstLine="709"/>
        <w:jc w:val="both"/>
        <w:rPr>
          <w:color w:val="000000"/>
          <w:sz w:val="24"/>
          <w:szCs w:val="24"/>
        </w:rPr>
      </w:pPr>
      <w:r>
        <w:rPr>
          <w:color w:val="000000"/>
          <w:sz w:val="24"/>
          <w:szCs w:val="24"/>
        </w:rPr>
        <w:t>На остальные 13 видов экономической деятельности приходится 25,1% от общего объема инвестиций.</w:t>
      </w:r>
    </w:p>
    <w:p w:rsidR="00B50D66" w:rsidRDefault="00B50D66" w:rsidP="00B50D66">
      <w:pPr>
        <w:spacing w:line="288" w:lineRule="auto"/>
        <w:ind w:firstLine="709"/>
        <w:jc w:val="both"/>
        <w:rPr>
          <w:bCs/>
          <w:color w:val="000000"/>
          <w:sz w:val="24"/>
          <w:szCs w:val="24"/>
        </w:rPr>
      </w:pPr>
      <w:r>
        <w:rPr>
          <w:bCs/>
          <w:color w:val="000000"/>
          <w:sz w:val="24"/>
          <w:szCs w:val="24"/>
        </w:rPr>
        <w:t>Доля привлеченных средств в общем объеме источников капитальных вложений составила 34,7%, в то время</w:t>
      </w:r>
      <w:proofErr w:type="gramStart"/>
      <w:r>
        <w:rPr>
          <w:bCs/>
          <w:color w:val="000000"/>
          <w:sz w:val="24"/>
          <w:szCs w:val="24"/>
        </w:rPr>
        <w:t>,</w:t>
      </w:r>
      <w:proofErr w:type="gramEnd"/>
      <w:r>
        <w:rPr>
          <w:bCs/>
          <w:color w:val="000000"/>
          <w:sz w:val="24"/>
          <w:szCs w:val="24"/>
        </w:rPr>
        <w:t xml:space="preserve"> как оставшиеся две трети объемов капитальных вложений осуществлены за счет собственных средств предприятий и организаций. Сложившееся распределение источников капитальных вложений существенно отличается от 2017 года, когда 50,8% всех инвестиций в основной капитал было осуществлено за счет привлеченных средств (в первую очередь – бюджетного финансирования).</w:t>
      </w:r>
    </w:p>
    <w:p w:rsidR="00B50D66" w:rsidRDefault="00B50D66" w:rsidP="00B50D66">
      <w:pPr>
        <w:spacing w:line="288" w:lineRule="auto"/>
        <w:ind w:firstLine="709"/>
        <w:jc w:val="both"/>
        <w:rPr>
          <w:color w:val="000000"/>
          <w:sz w:val="24"/>
          <w:szCs w:val="24"/>
        </w:rPr>
      </w:pPr>
      <w:r>
        <w:rPr>
          <w:color w:val="000000"/>
          <w:sz w:val="24"/>
          <w:szCs w:val="24"/>
        </w:rPr>
        <w:t>Среди бюджетных источников капитальных вложений в 2018 году основную массу составили средства федерального бюджета: 2 648,1 млн. рублей или 64,5% объема бюджетных инвестиций. На долю бюджета Тверской области приходится 30,0% (1231,9 млн. рублей), бюджета города Твери – 5,5% (226,4 млн. рублей).</w:t>
      </w:r>
    </w:p>
    <w:p w:rsidR="00B50D66" w:rsidRDefault="00B50D66" w:rsidP="00B50D66">
      <w:pPr>
        <w:spacing w:line="288" w:lineRule="auto"/>
        <w:ind w:firstLine="720"/>
        <w:jc w:val="both"/>
        <w:rPr>
          <w:color w:val="000000"/>
          <w:sz w:val="24"/>
          <w:szCs w:val="24"/>
        </w:rPr>
      </w:pPr>
      <w:r>
        <w:rPr>
          <w:sz w:val="24"/>
          <w:szCs w:val="24"/>
        </w:rPr>
        <w:t xml:space="preserve">В качестве итогов инвестиционной деятельности в городе Твери в 2018 году следует </w:t>
      </w:r>
      <w:r>
        <w:rPr>
          <w:color w:val="000000"/>
          <w:sz w:val="24"/>
          <w:szCs w:val="24"/>
        </w:rPr>
        <w:t>отметить завершение реализации таких инвестиционных проектов как:</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hAnsi="Times New Roman"/>
          <w:color w:val="000000"/>
          <w:sz w:val="24"/>
          <w:szCs w:val="24"/>
        </w:rPr>
        <w:lastRenderedPageBreak/>
        <w:t>Строительство топливозаправочного комплекса и складов ГСМ АО «</w:t>
      </w:r>
      <w:proofErr w:type="spellStart"/>
      <w:r>
        <w:rPr>
          <w:rFonts w:ascii="Times New Roman" w:hAnsi="Times New Roman"/>
          <w:color w:val="000000"/>
          <w:sz w:val="24"/>
          <w:szCs w:val="24"/>
        </w:rPr>
        <w:t>Газпромнефть-Аэро</w:t>
      </w:r>
      <w:proofErr w:type="spellEnd"/>
      <w:r>
        <w:rPr>
          <w:rFonts w:ascii="Times New Roman" w:hAnsi="Times New Roman"/>
          <w:color w:val="000000"/>
          <w:sz w:val="24"/>
          <w:szCs w:val="24"/>
        </w:rPr>
        <w:t>» (филиал «</w:t>
      </w:r>
      <w:proofErr w:type="spellStart"/>
      <w:r>
        <w:rPr>
          <w:rFonts w:ascii="Times New Roman" w:hAnsi="Times New Roman"/>
          <w:color w:val="000000"/>
          <w:sz w:val="24"/>
          <w:szCs w:val="24"/>
        </w:rPr>
        <w:t>Мигалово</w:t>
      </w:r>
      <w:proofErr w:type="spellEnd"/>
      <w:r>
        <w:rPr>
          <w:rFonts w:ascii="Times New Roman" w:hAnsi="Times New Roman"/>
          <w:color w:val="000000"/>
          <w:sz w:val="24"/>
          <w:szCs w:val="24"/>
        </w:rPr>
        <w:t>») – более 1 000 млн. рублей;</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hAnsi="Times New Roman"/>
          <w:color w:val="000000"/>
          <w:sz w:val="24"/>
          <w:szCs w:val="24"/>
        </w:rPr>
        <w:t>Реконструкция регионального распределительного центра и организация на его территории производства продуктов питания АО «Тандер» (розничная сеть «Магнит») – 2 100 млн. рублей;</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eastAsia="Times New Roman" w:hAnsi="Times New Roman"/>
          <w:color w:val="000000"/>
          <w:sz w:val="24"/>
          <w:szCs w:val="24"/>
          <w:lang w:eastAsia="ru-RU"/>
        </w:rPr>
        <w:t>Строительство цеха по производству металлических корпусов и склада хранения металлического лотк</w:t>
      </w:r>
      <w:proofErr w:type="gramStart"/>
      <w:r>
        <w:rPr>
          <w:rFonts w:ascii="Times New Roman" w:eastAsia="Times New Roman" w:hAnsi="Times New Roman"/>
          <w:color w:val="000000"/>
          <w:sz w:val="24"/>
          <w:szCs w:val="24"/>
          <w:lang w:eastAsia="ru-RU"/>
        </w:rPr>
        <w:t>а ООО</w:t>
      </w:r>
      <w:proofErr w:type="gramEnd"/>
      <w:r>
        <w:rPr>
          <w:rFonts w:ascii="Times New Roman" w:eastAsia="Times New Roman" w:hAnsi="Times New Roman"/>
          <w:color w:val="000000"/>
          <w:sz w:val="24"/>
          <w:szCs w:val="24"/>
          <w:lang w:eastAsia="ru-RU"/>
        </w:rPr>
        <w:t> «Бизнес-Сервис» (эксплуатацию осуществляет ООО «Система 5», территория «Технопарк ДКС») – 200 млн. рублей</w:t>
      </w:r>
      <w:r>
        <w:rPr>
          <w:rFonts w:ascii="Times New Roman" w:hAnsi="Times New Roman"/>
          <w:color w:val="000000"/>
          <w:sz w:val="24"/>
          <w:szCs w:val="24"/>
        </w:rPr>
        <w:t>;</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hAnsi="Times New Roman"/>
          <w:color w:val="000000"/>
          <w:sz w:val="24"/>
          <w:szCs w:val="24"/>
        </w:rPr>
        <w:t>Строительство диализного центр</w:t>
      </w:r>
      <w:proofErr w:type="gramStart"/>
      <w:r>
        <w:rPr>
          <w:rFonts w:ascii="Times New Roman" w:hAnsi="Times New Roman"/>
          <w:color w:val="000000"/>
          <w:sz w:val="24"/>
          <w:szCs w:val="24"/>
        </w:rPr>
        <w:t>а ООО</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Инстройрегион</w:t>
      </w:r>
      <w:proofErr w:type="spellEnd"/>
      <w:r>
        <w:rPr>
          <w:rFonts w:ascii="Times New Roman" w:hAnsi="Times New Roman"/>
          <w:color w:val="000000"/>
          <w:sz w:val="24"/>
          <w:szCs w:val="24"/>
        </w:rPr>
        <w:t>» – 200 млн. рублей;</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hAnsi="Times New Roman"/>
          <w:color w:val="000000"/>
          <w:sz w:val="24"/>
          <w:szCs w:val="24"/>
        </w:rPr>
        <w:t>Строительство центра по обслуживанию физических и юридических лиц ООО «УК «</w:t>
      </w:r>
      <w:proofErr w:type="spellStart"/>
      <w:r>
        <w:rPr>
          <w:rFonts w:ascii="Times New Roman" w:hAnsi="Times New Roman"/>
          <w:color w:val="000000"/>
          <w:sz w:val="24"/>
          <w:szCs w:val="24"/>
        </w:rPr>
        <w:t>Стройтехсервис</w:t>
      </w:r>
      <w:proofErr w:type="spellEnd"/>
      <w:r>
        <w:rPr>
          <w:rFonts w:ascii="Times New Roman" w:hAnsi="Times New Roman"/>
          <w:color w:val="000000"/>
          <w:sz w:val="24"/>
          <w:szCs w:val="24"/>
        </w:rPr>
        <w:t>» (АО «ОТП Банк») – 400 млн. рублей;</w:t>
      </w:r>
    </w:p>
    <w:p w:rsidR="00B50D66" w:rsidRDefault="00B50D66" w:rsidP="00B50D66">
      <w:pPr>
        <w:pStyle w:val="af6"/>
        <w:numPr>
          <w:ilvl w:val="0"/>
          <w:numId w:val="24"/>
        </w:numPr>
        <w:tabs>
          <w:tab w:val="left" w:pos="851"/>
        </w:tabs>
        <w:spacing w:after="0" w:line="288" w:lineRule="auto"/>
        <w:ind w:left="0" w:firstLine="567"/>
        <w:jc w:val="both"/>
        <w:rPr>
          <w:rFonts w:ascii="Times New Roman" w:hAnsi="Times New Roman"/>
          <w:color w:val="000000"/>
          <w:sz w:val="24"/>
          <w:szCs w:val="24"/>
        </w:rPr>
      </w:pPr>
      <w:r>
        <w:rPr>
          <w:rFonts w:ascii="Times New Roman" w:hAnsi="Times New Roman"/>
          <w:color w:val="000000"/>
          <w:sz w:val="24"/>
          <w:szCs w:val="24"/>
        </w:rPr>
        <w:t>Реконструкция склад</w:t>
      </w:r>
      <w:proofErr w:type="gramStart"/>
      <w:r>
        <w:rPr>
          <w:rFonts w:ascii="Times New Roman" w:hAnsi="Times New Roman"/>
          <w:color w:val="000000"/>
          <w:sz w:val="24"/>
          <w:szCs w:val="24"/>
        </w:rPr>
        <w:t>а АО О</w:t>
      </w:r>
      <w:proofErr w:type="gramEnd"/>
      <w:r>
        <w:rPr>
          <w:rFonts w:ascii="Times New Roman" w:hAnsi="Times New Roman"/>
          <w:color w:val="000000"/>
          <w:sz w:val="24"/>
          <w:szCs w:val="24"/>
        </w:rPr>
        <w:t>РТ «Универсал» – 250  млн. рублей.</w:t>
      </w:r>
    </w:p>
    <w:p w:rsidR="00B50D66" w:rsidRDefault="00B50D66" w:rsidP="00B50D66">
      <w:pPr>
        <w:spacing w:line="288" w:lineRule="auto"/>
        <w:ind w:firstLine="709"/>
        <w:jc w:val="both"/>
        <w:rPr>
          <w:color w:val="000000"/>
          <w:sz w:val="24"/>
          <w:szCs w:val="24"/>
        </w:rPr>
      </w:pPr>
      <w:r>
        <w:rPr>
          <w:color w:val="000000"/>
          <w:sz w:val="24"/>
          <w:szCs w:val="24"/>
        </w:rPr>
        <w:t>По оценке в 2019 году объем инвестиций по кругу крупных и средних организаций составит</w:t>
      </w:r>
      <w:r>
        <w:rPr>
          <w:color w:val="FF0000"/>
          <w:sz w:val="24"/>
          <w:szCs w:val="24"/>
        </w:rPr>
        <w:t xml:space="preserve"> </w:t>
      </w:r>
      <w:r>
        <w:rPr>
          <w:bCs/>
          <w:sz w:val="24"/>
          <w:szCs w:val="24"/>
        </w:rPr>
        <w:t>17,</w:t>
      </w:r>
      <w:r>
        <w:rPr>
          <w:bCs/>
          <w:color w:val="000000"/>
          <w:sz w:val="24"/>
          <w:szCs w:val="24"/>
        </w:rPr>
        <w:t>5</w:t>
      </w:r>
      <w:r>
        <w:rPr>
          <w:color w:val="000000"/>
          <w:sz w:val="24"/>
          <w:szCs w:val="24"/>
        </w:rPr>
        <w:t xml:space="preserve"> млрд. рублей или 89,9% к уровню 2018 года в сопоставимых ценах. </w:t>
      </w:r>
      <w:r w:rsidR="00D05C0C">
        <w:rPr>
          <w:color w:val="000000"/>
          <w:sz w:val="24"/>
          <w:szCs w:val="24"/>
        </w:rPr>
        <w:t>С</w:t>
      </w:r>
      <w:r>
        <w:rPr>
          <w:color w:val="000000"/>
          <w:sz w:val="24"/>
          <w:szCs w:val="24"/>
        </w:rPr>
        <w:t xml:space="preserve">нижение объемов капитальных вложений является следствием планируемого завершения в 2019 году реконструкции </w:t>
      </w:r>
      <w:proofErr w:type="spellStart"/>
      <w:r>
        <w:rPr>
          <w:color w:val="000000"/>
          <w:sz w:val="24"/>
          <w:szCs w:val="24"/>
        </w:rPr>
        <w:t>Мигаловского</w:t>
      </w:r>
      <w:proofErr w:type="spellEnd"/>
      <w:r>
        <w:rPr>
          <w:color w:val="000000"/>
          <w:sz w:val="24"/>
          <w:szCs w:val="24"/>
        </w:rPr>
        <w:t xml:space="preserve"> моста (на 2019 год объем средств составляет лишь 0,3 млрд. рублей), введением в эксплуатацию в 2018 году регионального распределительного центра</w:t>
      </w:r>
      <w:r w:rsidR="00D05C0C">
        <w:rPr>
          <w:color w:val="000000"/>
          <w:sz w:val="24"/>
          <w:szCs w:val="24"/>
        </w:rPr>
        <w:br/>
      </w:r>
      <w:r>
        <w:rPr>
          <w:color w:val="000000"/>
          <w:sz w:val="24"/>
          <w:szCs w:val="24"/>
        </w:rPr>
        <w:t>АО «Тандер» и заправочного комплекса АО «</w:t>
      </w:r>
      <w:proofErr w:type="spellStart"/>
      <w:r>
        <w:rPr>
          <w:color w:val="000000"/>
          <w:sz w:val="24"/>
          <w:szCs w:val="24"/>
        </w:rPr>
        <w:t>Газпромнефть-Аэро</w:t>
      </w:r>
      <w:proofErr w:type="spellEnd"/>
      <w:r>
        <w:rPr>
          <w:color w:val="000000"/>
          <w:sz w:val="24"/>
          <w:szCs w:val="24"/>
        </w:rPr>
        <w:t>».</w:t>
      </w:r>
    </w:p>
    <w:p w:rsidR="00B50D66" w:rsidRDefault="00B50D66" w:rsidP="00B50D66">
      <w:pPr>
        <w:spacing w:line="288" w:lineRule="auto"/>
        <w:ind w:firstLine="709"/>
        <w:jc w:val="both"/>
        <w:rPr>
          <w:color w:val="000000"/>
          <w:sz w:val="24"/>
          <w:szCs w:val="24"/>
        </w:rPr>
      </w:pPr>
      <w:r>
        <w:rPr>
          <w:color w:val="000000"/>
          <w:sz w:val="24"/>
          <w:szCs w:val="24"/>
        </w:rPr>
        <w:t xml:space="preserve">В 2019 году компания ООО «КСК Инвестиции» приступила к реализации инвестиционного проекта по созданию </w:t>
      </w:r>
      <w:proofErr w:type="spellStart"/>
      <w:r>
        <w:rPr>
          <w:color w:val="000000"/>
          <w:sz w:val="24"/>
          <w:szCs w:val="24"/>
        </w:rPr>
        <w:t>промтехнопарка</w:t>
      </w:r>
      <w:proofErr w:type="spellEnd"/>
      <w:r>
        <w:rPr>
          <w:color w:val="000000"/>
          <w:sz w:val="24"/>
          <w:szCs w:val="24"/>
        </w:rPr>
        <w:t xml:space="preserve"> «КСК». Окончание инвестиционной фазы проекта приходится на 2023 год.  Общий объем инвестиций к моменту ее завершения составит 5,0 млрд. рублей. В текущем году объем капитальных вложений превысил 200 млн. рублей. </w:t>
      </w:r>
    </w:p>
    <w:p w:rsidR="00B50D66" w:rsidRDefault="00B50D66" w:rsidP="00B50D66">
      <w:pPr>
        <w:spacing w:line="288" w:lineRule="auto"/>
        <w:ind w:firstLine="709"/>
        <w:jc w:val="both"/>
        <w:rPr>
          <w:color w:val="000000"/>
          <w:sz w:val="24"/>
          <w:szCs w:val="24"/>
        </w:rPr>
      </w:pPr>
      <w:r>
        <w:rPr>
          <w:sz w:val="24"/>
          <w:szCs w:val="24"/>
        </w:rPr>
        <w:t xml:space="preserve">В сентябре 2019 года на территории «Технопарк ДКС» завершен инвестиционный проект по созданию цеха покрытия металлоконструкций цинком методом горячего </w:t>
      </w:r>
      <w:proofErr w:type="spellStart"/>
      <w:r>
        <w:rPr>
          <w:sz w:val="24"/>
          <w:szCs w:val="24"/>
        </w:rPr>
        <w:t>цинкования</w:t>
      </w:r>
      <w:proofErr w:type="spellEnd"/>
      <w:r>
        <w:rPr>
          <w:sz w:val="24"/>
          <w:szCs w:val="24"/>
        </w:rPr>
        <w:t xml:space="preserve"> </w:t>
      </w:r>
      <w:r>
        <w:rPr>
          <w:color w:val="000000"/>
          <w:sz w:val="24"/>
          <w:szCs w:val="24"/>
        </w:rPr>
        <w:t xml:space="preserve">(объект построен компанией ООО «Бизнес-Сервис», производственную деятельность на объекте осуществляет ООО «Система 5»). Общий объем инвестиций превысил 700 млн. рублей.  </w:t>
      </w:r>
    </w:p>
    <w:p w:rsidR="00B50D66" w:rsidRDefault="00B50D66" w:rsidP="00B50D66">
      <w:pPr>
        <w:spacing w:line="288" w:lineRule="auto"/>
        <w:ind w:firstLine="709"/>
        <w:jc w:val="both"/>
        <w:rPr>
          <w:color w:val="000000"/>
          <w:sz w:val="24"/>
          <w:szCs w:val="24"/>
        </w:rPr>
      </w:pPr>
      <w:r>
        <w:rPr>
          <w:color w:val="000000"/>
          <w:sz w:val="24"/>
          <w:szCs w:val="24"/>
        </w:rPr>
        <w:t xml:space="preserve">Кроме того, в текущем году продолжается реализация инвестиционных проектов </w:t>
      </w:r>
      <w:proofErr w:type="gramStart"/>
      <w:r>
        <w:rPr>
          <w:color w:val="000000"/>
          <w:sz w:val="24"/>
          <w:szCs w:val="24"/>
        </w:rPr>
        <w:t>по</w:t>
      </w:r>
      <w:proofErr w:type="gramEnd"/>
      <w:r>
        <w:rPr>
          <w:color w:val="000000"/>
          <w:sz w:val="24"/>
          <w:szCs w:val="24"/>
        </w:rPr>
        <w:t>:</w:t>
      </w:r>
    </w:p>
    <w:p w:rsidR="00B50D66" w:rsidRDefault="00B50D66" w:rsidP="00B50D66">
      <w:pPr>
        <w:numPr>
          <w:ilvl w:val="0"/>
          <w:numId w:val="38"/>
        </w:numPr>
        <w:spacing w:line="288" w:lineRule="auto"/>
        <w:ind w:left="0" w:firstLine="567"/>
        <w:jc w:val="both"/>
        <w:rPr>
          <w:color w:val="000000"/>
          <w:sz w:val="24"/>
          <w:szCs w:val="24"/>
        </w:rPr>
      </w:pPr>
      <w:r>
        <w:rPr>
          <w:color w:val="000000"/>
          <w:sz w:val="24"/>
          <w:szCs w:val="24"/>
        </w:rPr>
        <w:t>строительству 1-го пускового комплекса здания главного корпуса ФГБОУ ВО «Тверской государственный университет» по ул. 2-я Грибоедова, д. 26, реконструкции студенческих общежитий «В» и «Г»;</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строительству и инженерно-технологическому оснащению здания АО «СО ЕЭС» на улице Спартака, д. 14 и д. 15 для размещения филиала;</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созданию на ОАО «Тверской вагоностроительный завод» унифицированной платформы современных электропоездов и их производство на АО «ТВЗ» (электропоездов ЭГ2Тв и ЭП2Тв);</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 xml:space="preserve">освоению ЗАО «Тверской экскаватор» производства новых моделей экскаваторов; </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строительству АО фирма ОРТ «Универсал» магазинов по улице Радищева, улице Фурманова, проспекту 50 лет Октября в городе Твери;</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строительству здания отапливаемого склад</w:t>
      </w:r>
      <w:proofErr w:type="gramStart"/>
      <w:r>
        <w:rPr>
          <w:color w:val="000000"/>
          <w:sz w:val="24"/>
          <w:szCs w:val="24"/>
        </w:rPr>
        <w:t>а ООО</w:t>
      </w:r>
      <w:proofErr w:type="gramEnd"/>
      <w:r>
        <w:rPr>
          <w:color w:val="000000"/>
          <w:sz w:val="24"/>
          <w:szCs w:val="24"/>
        </w:rPr>
        <w:t xml:space="preserve"> «</w:t>
      </w:r>
      <w:proofErr w:type="spellStart"/>
      <w:r>
        <w:rPr>
          <w:color w:val="000000"/>
          <w:sz w:val="24"/>
          <w:szCs w:val="24"/>
        </w:rPr>
        <w:t>Тверьтрубпласт</w:t>
      </w:r>
      <w:proofErr w:type="spellEnd"/>
      <w:r>
        <w:rPr>
          <w:color w:val="000000"/>
          <w:sz w:val="24"/>
          <w:szCs w:val="24"/>
        </w:rPr>
        <w:t>».</w:t>
      </w:r>
    </w:p>
    <w:p w:rsidR="00B50D66" w:rsidRPr="008E3788" w:rsidRDefault="00B50D66" w:rsidP="00B50D66">
      <w:pPr>
        <w:spacing w:line="288" w:lineRule="auto"/>
        <w:ind w:left="720"/>
        <w:jc w:val="both"/>
        <w:rPr>
          <w:color w:val="000000"/>
          <w:sz w:val="24"/>
          <w:szCs w:val="24"/>
          <w:u w:val="single"/>
        </w:rPr>
      </w:pPr>
      <w:r w:rsidRPr="008E3788">
        <w:rPr>
          <w:color w:val="000000"/>
          <w:sz w:val="24"/>
          <w:szCs w:val="24"/>
          <w:u w:val="single"/>
        </w:rPr>
        <w:t xml:space="preserve">За счет бюджетных инвестиций осуществляется строительство: </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 xml:space="preserve"> детской поликлиники №2 в микрорайоне «Южный»;</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 xml:space="preserve"> </w:t>
      </w:r>
      <w:proofErr w:type="gramStart"/>
      <w:r>
        <w:rPr>
          <w:color w:val="000000"/>
          <w:sz w:val="24"/>
          <w:szCs w:val="24"/>
        </w:rPr>
        <w:t>школы-детского</w:t>
      </w:r>
      <w:proofErr w:type="gramEnd"/>
      <w:r>
        <w:rPr>
          <w:color w:val="000000"/>
          <w:sz w:val="24"/>
          <w:szCs w:val="24"/>
        </w:rPr>
        <w:t xml:space="preserve"> сада на 560 ученических мест и 80 детских мест в микрорайоне Юность (объект введен в эксплуатацию);</w:t>
      </w:r>
    </w:p>
    <w:p w:rsidR="00B50D66" w:rsidRDefault="00B50D66" w:rsidP="00B50D66">
      <w:pPr>
        <w:numPr>
          <w:ilvl w:val="0"/>
          <w:numId w:val="32"/>
        </w:numPr>
        <w:spacing w:line="288" w:lineRule="auto"/>
        <w:ind w:left="0" w:firstLine="567"/>
        <w:jc w:val="both"/>
        <w:rPr>
          <w:sz w:val="24"/>
          <w:szCs w:val="24"/>
        </w:rPr>
      </w:pPr>
      <w:r>
        <w:rPr>
          <w:sz w:val="24"/>
          <w:szCs w:val="24"/>
        </w:rPr>
        <w:t>детской областной клинической больницы;</w:t>
      </w:r>
    </w:p>
    <w:p w:rsidR="00B50D66" w:rsidRDefault="00B50D66" w:rsidP="00B50D66">
      <w:pPr>
        <w:numPr>
          <w:ilvl w:val="0"/>
          <w:numId w:val="32"/>
        </w:numPr>
        <w:spacing w:line="288" w:lineRule="auto"/>
        <w:ind w:left="0" w:firstLine="567"/>
        <w:jc w:val="both"/>
        <w:rPr>
          <w:sz w:val="24"/>
          <w:szCs w:val="24"/>
        </w:rPr>
      </w:pPr>
      <w:r>
        <w:rPr>
          <w:sz w:val="24"/>
          <w:szCs w:val="24"/>
        </w:rPr>
        <w:lastRenderedPageBreak/>
        <w:t>спортивного центра по видам гребли;</w:t>
      </w:r>
    </w:p>
    <w:p w:rsidR="00B50D66" w:rsidRDefault="00B50D66" w:rsidP="00B50D66">
      <w:pPr>
        <w:numPr>
          <w:ilvl w:val="0"/>
          <w:numId w:val="32"/>
        </w:numPr>
        <w:spacing w:line="288" w:lineRule="auto"/>
        <w:ind w:left="0" w:firstLine="567"/>
        <w:jc w:val="both"/>
        <w:rPr>
          <w:color w:val="000000"/>
          <w:sz w:val="24"/>
          <w:szCs w:val="24"/>
        </w:rPr>
      </w:pPr>
      <w:r>
        <w:rPr>
          <w:color w:val="000000"/>
          <w:sz w:val="24"/>
          <w:szCs w:val="24"/>
        </w:rPr>
        <w:t>средней общеобразовательной школы на 1224 мест в микрорайоне «</w:t>
      </w:r>
      <w:proofErr w:type="spellStart"/>
      <w:r>
        <w:rPr>
          <w:color w:val="000000"/>
          <w:sz w:val="24"/>
          <w:szCs w:val="24"/>
        </w:rPr>
        <w:t>Брусилово</w:t>
      </w:r>
      <w:proofErr w:type="spellEnd"/>
      <w:r>
        <w:rPr>
          <w:color w:val="000000"/>
          <w:sz w:val="24"/>
          <w:szCs w:val="24"/>
        </w:rPr>
        <w:t xml:space="preserve">» и других объектов. </w:t>
      </w:r>
    </w:p>
    <w:p w:rsidR="00B50D66" w:rsidRDefault="00B50D66" w:rsidP="00B50D66">
      <w:pPr>
        <w:spacing w:line="288" w:lineRule="auto"/>
        <w:ind w:firstLine="709"/>
        <w:jc w:val="both"/>
        <w:rPr>
          <w:color w:val="000000"/>
          <w:sz w:val="24"/>
          <w:szCs w:val="24"/>
        </w:rPr>
      </w:pPr>
      <w:r>
        <w:rPr>
          <w:color w:val="000000"/>
          <w:sz w:val="24"/>
          <w:szCs w:val="24"/>
        </w:rPr>
        <w:t>По прогнозу в 2020 году объем инвестиций составит 19,8 млрд. рублей (или 108,3% к уровню предыдущего года в сопоставимых ценах). Увеличение темпов роста связано с инвестированием сре</w:t>
      </w:r>
      <w:proofErr w:type="gramStart"/>
      <w:r>
        <w:rPr>
          <w:color w:val="000000"/>
          <w:sz w:val="24"/>
          <w:szCs w:val="24"/>
        </w:rPr>
        <w:t>дств гр</w:t>
      </w:r>
      <w:proofErr w:type="gramEnd"/>
      <w:r>
        <w:rPr>
          <w:color w:val="000000"/>
          <w:sz w:val="24"/>
          <w:szCs w:val="24"/>
        </w:rPr>
        <w:t>уппой компаний ДКС (ООО «Бизнес-Сервис», ООО «Система 5</w:t>
      </w:r>
      <w:r>
        <w:rPr>
          <w:sz w:val="24"/>
          <w:szCs w:val="24"/>
        </w:rPr>
        <w:t>») в создание производств по выпуску металлических корпусов и проволочных лотков. Значительные объемы средств (более 50 млн. рублей), инвестируемых в развитие производства, ожидаются у предприятий ЗАО «Тверской экскаватор», ОАО «Волжский пекарь», АО «</w:t>
      </w:r>
      <w:proofErr w:type="spellStart"/>
      <w:r>
        <w:rPr>
          <w:sz w:val="24"/>
          <w:szCs w:val="24"/>
        </w:rPr>
        <w:t>Вагонкомплект</w:t>
      </w:r>
      <w:proofErr w:type="spellEnd"/>
      <w:r>
        <w:rPr>
          <w:sz w:val="24"/>
          <w:szCs w:val="24"/>
        </w:rPr>
        <w:t xml:space="preserve">», АО «РИТМ» ТПТА, ФЛ ОАО «ФСК ЕЭС» Тверское ПМЭС, ФЛ ООО «Орион </w:t>
      </w:r>
      <w:proofErr w:type="spellStart"/>
      <w:r>
        <w:rPr>
          <w:sz w:val="24"/>
          <w:szCs w:val="24"/>
        </w:rPr>
        <w:t>Интернейшнл</w:t>
      </w:r>
      <w:proofErr w:type="spellEnd"/>
      <w:r>
        <w:rPr>
          <w:sz w:val="24"/>
          <w:szCs w:val="24"/>
        </w:rPr>
        <w:t xml:space="preserve"> Евро». </w:t>
      </w:r>
      <w:r>
        <w:rPr>
          <w:color w:val="000000"/>
          <w:sz w:val="24"/>
          <w:szCs w:val="24"/>
        </w:rPr>
        <w:t xml:space="preserve">Обеспечение высоких объемов инвестиций в основной капитал в данный год </w:t>
      </w:r>
      <w:r>
        <w:rPr>
          <w:sz w:val="24"/>
          <w:szCs w:val="24"/>
        </w:rPr>
        <w:t>подкрепляется</w:t>
      </w:r>
      <w:r>
        <w:rPr>
          <w:color w:val="000000"/>
          <w:sz w:val="24"/>
          <w:szCs w:val="24"/>
        </w:rPr>
        <w:t xml:space="preserve"> планируемой реализацией масштабных инвестиционных программ организаций, осуществляющих регулируемую деятельность:</w:t>
      </w:r>
    </w:p>
    <w:p w:rsidR="00B50D66" w:rsidRDefault="00B50D66" w:rsidP="00B50D66">
      <w:pPr>
        <w:spacing w:line="288" w:lineRule="auto"/>
        <w:ind w:firstLine="709"/>
        <w:jc w:val="both"/>
        <w:rPr>
          <w:color w:val="000000"/>
          <w:sz w:val="24"/>
          <w:szCs w:val="24"/>
        </w:rPr>
      </w:pPr>
      <w:r>
        <w:rPr>
          <w:color w:val="000000"/>
          <w:sz w:val="24"/>
          <w:szCs w:val="24"/>
        </w:rPr>
        <w:t>- ООО «Тверь Водоканал» в сфере водоснабжения и водоотведения;</w:t>
      </w:r>
    </w:p>
    <w:p w:rsidR="00B50D66" w:rsidRDefault="00B50D66" w:rsidP="00B50D66">
      <w:pPr>
        <w:spacing w:line="288" w:lineRule="auto"/>
        <w:ind w:firstLine="709"/>
        <w:jc w:val="both"/>
        <w:rPr>
          <w:color w:val="000000"/>
          <w:sz w:val="24"/>
          <w:szCs w:val="24"/>
        </w:rPr>
      </w:pPr>
      <w:r>
        <w:rPr>
          <w:color w:val="000000"/>
          <w:sz w:val="24"/>
          <w:szCs w:val="24"/>
        </w:rPr>
        <w:t>- ООО «Тверская генерация» в сфере теплоснабжения.</w:t>
      </w:r>
    </w:p>
    <w:p w:rsidR="00B50D66" w:rsidRDefault="00B50D66" w:rsidP="00B50D66">
      <w:pPr>
        <w:spacing w:line="288" w:lineRule="auto"/>
        <w:ind w:firstLine="709"/>
        <w:jc w:val="both"/>
        <w:rPr>
          <w:color w:val="000000"/>
          <w:sz w:val="24"/>
          <w:szCs w:val="24"/>
        </w:rPr>
      </w:pPr>
      <w:r w:rsidRPr="00AA2A4F">
        <w:rPr>
          <w:color w:val="000000"/>
          <w:sz w:val="24"/>
          <w:szCs w:val="24"/>
          <w:u w:val="single"/>
        </w:rPr>
        <w:t>За счет бюджетных сре</w:t>
      </w:r>
      <w:proofErr w:type="gramStart"/>
      <w:r w:rsidRPr="00AA2A4F">
        <w:rPr>
          <w:color w:val="000000"/>
          <w:sz w:val="24"/>
          <w:szCs w:val="24"/>
          <w:u w:val="single"/>
        </w:rPr>
        <w:t>дств пл</w:t>
      </w:r>
      <w:proofErr w:type="gramEnd"/>
      <w:r w:rsidRPr="00AA2A4F">
        <w:rPr>
          <w:color w:val="000000"/>
          <w:sz w:val="24"/>
          <w:szCs w:val="24"/>
          <w:u w:val="single"/>
        </w:rPr>
        <w:t>анируется</w:t>
      </w:r>
      <w:r>
        <w:rPr>
          <w:color w:val="000000"/>
          <w:sz w:val="24"/>
          <w:szCs w:val="24"/>
        </w:rPr>
        <w:t xml:space="preserve"> начало строительства двух детских садов на 190 мест каждый (до 2021 года), средней общеобразовательной школы на 1224 места в микрорайоне «Южный» (до 2022 года). Продолжится строительство средней общеобразовательной школы на 1224 места в микрорайоне «Радужный».</w:t>
      </w:r>
    </w:p>
    <w:p w:rsidR="00B50D66" w:rsidRDefault="00B50D66" w:rsidP="00B50D66">
      <w:pPr>
        <w:spacing w:line="288" w:lineRule="auto"/>
        <w:jc w:val="center"/>
        <w:rPr>
          <w:color w:val="000000"/>
          <w:sz w:val="24"/>
          <w:szCs w:val="24"/>
        </w:rPr>
      </w:pPr>
      <w:r w:rsidRPr="00EF78C0">
        <w:rPr>
          <w:noProof/>
          <w:color w:val="003399"/>
          <w:sz w:val="24"/>
          <w:szCs w:val="24"/>
        </w:rPr>
        <w:drawing>
          <wp:inline distT="0" distB="0" distL="0" distR="0" wp14:anchorId="1DC9E8D4" wp14:editId="65F5D7CB">
            <wp:extent cx="6480810" cy="3009393"/>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50D66" w:rsidRDefault="00B50D66" w:rsidP="00B50D66">
      <w:pPr>
        <w:spacing w:line="288" w:lineRule="auto"/>
        <w:ind w:firstLine="709"/>
        <w:jc w:val="both"/>
        <w:rPr>
          <w:color w:val="000000"/>
          <w:sz w:val="24"/>
          <w:szCs w:val="24"/>
        </w:rPr>
      </w:pPr>
      <w:r>
        <w:rPr>
          <w:color w:val="000000"/>
          <w:sz w:val="24"/>
          <w:szCs w:val="24"/>
        </w:rPr>
        <w:t>В 2021 году ожидается замедление темпов роста капитальных вложений до 100,9% (объем инвестиций составит 20,8 млрд. рублей), в 2022 году – до 100,1% (21,6 млрд. рублей). В период 2023-2025 годов рост объемов инвестиций в основной капитал в сопоставимых ценах состав</w:t>
      </w:r>
      <w:r w:rsidR="00AA2A4F">
        <w:rPr>
          <w:color w:val="000000"/>
          <w:sz w:val="24"/>
          <w:szCs w:val="24"/>
        </w:rPr>
        <w:t>и</w:t>
      </w:r>
      <w:r>
        <w:rPr>
          <w:color w:val="000000"/>
          <w:sz w:val="24"/>
          <w:szCs w:val="24"/>
        </w:rPr>
        <w:t>т</w:t>
      </w:r>
      <w:r w:rsidR="00AA2A4F">
        <w:rPr>
          <w:color w:val="000000"/>
          <w:sz w:val="24"/>
          <w:szCs w:val="24"/>
        </w:rPr>
        <w:br/>
      </w:r>
      <w:r>
        <w:rPr>
          <w:color w:val="000000"/>
          <w:sz w:val="24"/>
          <w:szCs w:val="24"/>
        </w:rPr>
        <w:t>1-1,5%.</w:t>
      </w:r>
    </w:p>
    <w:p w:rsidR="00B50D66" w:rsidRDefault="00B50D66" w:rsidP="00B50D66">
      <w:pPr>
        <w:spacing w:line="288" w:lineRule="auto"/>
        <w:ind w:firstLine="709"/>
        <w:jc w:val="both"/>
        <w:rPr>
          <w:color w:val="000000"/>
          <w:sz w:val="24"/>
          <w:szCs w:val="24"/>
        </w:rPr>
      </w:pPr>
      <w:r>
        <w:rPr>
          <w:color w:val="000000"/>
          <w:sz w:val="24"/>
          <w:szCs w:val="24"/>
        </w:rPr>
        <w:t>В долгосрочной перспективе значительные объемы капитальных вложений будут достигнуты благодаря реализации таких крупных инфраструктурных инвестиционных проектов как:</w:t>
      </w:r>
    </w:p>
    <w:p w:rsidR="00B50D66" w:rsidRDefault="00B50D66" w:rsidP="00B50D66">
      <w:pPr>
        <w:numPr>
          <w:ilvl w:val="0"/>
          <w:numId w:val="33"/>
        </w:numPr>
        <w:tabs>
          <w:tab w:val="left" w:pos="851"/>
          <w:tab w:val="left" w:pos="1276"/>
        </w:tabs>
        <w:spacing w:line="288" w:lineRule="auto"/>
        <w:ind w:left="0" w:firstLine="709"/>
        <w:jc w:val="both"/>
        <w:rPr>
          <w:sz w:val="24"/>
          <w:szCs w:val="24"/>
        </w:rPr>
      </w:pPr>
      <w:r>
        <w:rPr>
          <w:sz w:val="24"/>
          <w:szCs w:val="24"/>
        </w:rPr>
        <w:t>строительство современного выставочного центра «Тверь-Экспо», площадью 100 тыс. кв. м. – 8 млрд. руб.;</w:t>
      </w:r>
    </w:p>
    <w:p w:rsidR="00B50D66" w:rsidRDefault="00B50D66" w:rsidP="00B50D66">
      <w:pPr>
        <w:numPr>
          <w:ilvl w:val="0"/>
          <w:numId w:val="33"/>
        </w:numPr>
        <w:tabs>
          <w:tab w:val="left" w:pos="851"/>
          <w:tab w:val="left" w:pos="1276"/>
        </w:tabs>
        <w:spacing w:line="288" w:lineRule="auto"/>
        <w:ind w:left="0" w:firstLine="709"/>
        <w:jc w:val="both"/>
        <w:rPr>
          <w:sz w:val="24"/>
          <w:szCs w:val="24"/>
        </w:rPr>
      </w:pPr>
      <w:r>
        <w:rPr>
          <w:sz w:val="24"/>
          <w:szCs w:val="24"/>
        </w:rPr>
        <w:lastRenderedPageBreak/>
        <w:t xml:space="preserve">строительство Западного моста в городе Твери (бюджетные инвестиции до 10 млрд. руб. </w:t>
      </w:r>
      <w:r>
        <w:rPr>
          <w:color w:val="000000"/>
          <w:sz w:val="24"/>
          <w:szCs w:val="24"/>
        </w:rPr>
        <w:t>за счет средств федерального, областного и муниципального бюджетов в рамках соответствующих адресных инвестиционных программ</w:t>
      </w:r>
      <w:r>
        <w:rPr>
          <w:sz w:val="24"/>
          <w:szCs w:val="24"/>
        </w:rPr>
        <w:t>);</w:t>
      </w:r>
    </w:p>
    <w:p w:rsidR="00B50D66" w:rsidRDefault="00B50D66" w:rsidP="00B50D66">
      <w:pPr>
        <w:numPr>
          <w:ilvl w:val="0"/>
          <w:numId w:val="33"/>
        </w:numPr>
        <w:tabs>
          <w:tab w:val="left" w:pos="851"/>
          <w:tab w:val="left" w:pos="1276"/>
        </w:tabs>
        <w:spacing w:line="288" w:lineRule="auto"/>
        <w:ind w:left="0" w:firstLine="709"/>
        <w:jc w:val="both"/>
        <w:rPr>
          <w:sz w:val="24"/>
          <w:szCs w:val="24"/>
        </w:rPr>
      </w:pPr>
      <w:r>
        <w:rPr>
          <w:sz w:val="24"/>
          <w:szCs w:val="24"/>
        </w:rPr>
        <w:t xml:space="preserve">реконструкция </w:t>
      </w:r>
      <w:proofErr w:type="gramStart"/>
      <w:r>
        <w:rPr>
          <w:sz w:val="24"/>
          <w:szCs w:val="24"/>
        </w:rPr>
        <w:t>блока биологической очистки очистных сооружений канализации города</w:t>
      </w:r>
      <w:proofErr w:type="gramEnd"/>
      <w:r>
        <w:rPr>
          <w:sz w:val="24"/>
          <w:szCs w:val="24"/>
        </w:rPr>
        <w:t xml:space="preserve"> Твери – 1,1 млрд. рублей;</w:t>
      </w:r>
    </w:p>
    <w:p w:rsidR="00B50D66" w:rsidRDefault="00B50D66" w:rsidP="00B50D66">
      <w:pPr>
        <w:numPr>
          <w:ilvl w:val="0"/>
          <w:numId w:val="33"/>
        </w:numPr>
        <w:tabs>
          <w:tab w:val="left" w:pos="851"/>
          <w:tab w:val="left" w:pos="1276"/>
        </w:tabs>
        <w:spacing w:line="288" w:lineRule="auto"/>
        <w:ind w:left="0" w:firstLine="709"/>
        <w:jc w:val="both"/>
        <w:rPr>
          <w:sz w:val="24"/>
          <w:szCs w:val="24"/>
        </w:rPr>
      </w:pPr>
      <w:r>
        <w:rPr>
          <w:sz w:val="24"/>
          <w:szCs w:val="24"/>
        </w:rPr>
        <w:t xml:space="preserve">модернизация нитки водовода от </w:t>
      </w:r>
      <w:proofErr w:type="spellStart"/>
      <w:r>
        <w:rPr>
          <w:sz w:val="24"/>
          <w:szCs w:val="24"/>
        </w:rPr>
        <w:t>Тверецкого</w:t>
      </w:r>
      <w:proofErr w:type="spellEnd"/>
      <w:r>
        <w:rPr>
          <w:sz w:val="24"/>
          <w:szCs w:val="24"/>
        </w:rPr>
        <w:t xml:space="preserve"> водозабора до дюкера Восточного моста с Ду600 на Ду800, протяженностью 7500 м – 0,3 млрд. рублей. </w:t>
      </w:r>
    </w:p>
    <w:p w:rsidR="00B50D66" w:rsidRDefault="00B50D66" w:rsidP="00B50D66">
      <w:pPr>
        <w:spacing w:line="288" w:lineRule="auto"/>
        <w:ind w:firstLine="709"/>
        <w:jc w:val="both"/>
        <w:rPr>
          <w:color w:val="000000"/>
          <w:sz w:val="24"/>
          <w:szCs w:val="24"/>
        </w:rPr>
      </w:pPr>
      <w:r>
        <w:rPr>
          <w:sz w:val="24"/>
          <w:szCs w:val="24"/>
        </w:rPr>
        <w:t>На АО «</w:t>
      </w:r>
      <w:r>
        <w:rPr>
          <w:color w:val="000000"/>
          <w:sz w:val="24"/>
          <w:szCs w:val="24"/>
        </w:rPr>
        <w:t xml:space="preserve">Тверской вагоностроительный завод» будет продолжена работа по созданию унифицированной платформы современных электропоездов и их производству (завершение проекта планируется к 2022 году). </w:t>
      </w:r>
    </w:p>
    <w:p w:rsidR="00B50D66" w:rsidRDefault="00B50D66" w:rsidP="00B50D66">
      <w:pPr>
        <w:spacing w:line="288" w:lineRule="auto"/>
        <w:ind w:firstLine="709"/>
        <w:jc w:val="both"/>
        <w:rPr>
          <w:color w:val="000000"/>
          <w:sz w:val="24"/>
          <w:szCs w:val="24"/>
        </w:rPr>
      </w:pPr>
      <w:r>
        <w:rPr>
          <w:color w:val="000000"/>
          <w:sz w:val="24"/>
          <w:szCs w:val="24"/>
        </w:rPr>
        <w:t>Также ожидается строительство следующих объектов:</w:t>
      </w:r>
    </w:p>
    <w:p w:rsidR="00B50D66" w:rsidRDefault="00B50D66" w:rsidP="00B50D66">
      <w:pPr>
        <w:spacing w:line="288" w:lineRule="auto"/>
        <w:ind w:firstLine="709"/>
        <w:jc w:val="both"/>
        <w:rPr>
          <w:color w:val="000000"/>
          <w:sz w:val="24"/>
          <w:szCs w:val="24"/>
        </w:rPr>
      </w:pPr>
      <w:r>
        <w:rPr>
          <w:color w:val="000000"/>
          <w:sz w:val="24"/>
          <w:szCs w:val="24"/>
        </w:rPr>
        <w:t>- офисного центра «Звездный» компанией ООО «Инвест-Проект»;</w:t>
      </w:r>
    </w:p>
    <w:p w:rsidR="00B50D66" w:rsidRDefault="00B50D66" w:rsidP="00B50D66">
      <w:pPr>
        <w:spacing w:line="288" w:lineRule="auto"/>
        <w:ind w:firstLine="708"/>
        <w:jc w:val="both"/>
        <w:rPr>
          <w:color w:val="000000"/>
          <w:sz w:val="24"/>
          <w:szCs w:val="24"/>
        </w:rPr>
      </w:pPr>
      <w:r>
        <w:rPr>
          <w:color w:val="000000"/>
          <w:sz w:val="24"/>
          <w:szCs w:val="24"/>
        </w:rPr>
        <w:t>- здания для размещения филиала АО «СО УЭС» Тверское РДУ;</w:t>
      </w:r>
    </w:p>
    <w:p w:rsidR="00B50D66" w:rsidRDefault="00B50D66" w:rsidP="00B50D66">
      <w:pPr>
        <w:spacing w:line="288" w:lineRule="auto"/>
        <w:ind w:firstLine="708"/>
        <w:jc w:val="both"/>
        <w:rPr>
          <w:color w:val="000000"/>
          <w:sz w:val="24"/>
          <w:szCs w:val="24"/>
        </w:rPr>
      </w:pPr>
      <w:proofErr w:type="gramStart"/>
      <w:r>
        <w:rPr>
          <w:color w:val="000000"/>
          <w:sz w:val="24"/>
          <w:szCs w:val="24"/>
        </w:rPr>
        <w:t>- магазинов ОРТ «Универсал» по ул. Радищева, ул. Фурманова, пр. 50 лет Октября;</w:t>
      </w:r>
      <w:proofErr w:type="gramEnd"/>
    </w:p>
    <w:p w:rsidR="00B50D66" w:rsidRDefault="00B50D66" w:rsidP="00B50D66">
      <w:pPr>
        <w:spacing w:line="288" w:lineRule="auto"/>
        <w:ind w:firstLine="708"/>
        <w:jc w:val="both"/>
        <w:rPr>
          <w:color w:val="000000"/>
          <w:sz w:val="24"/>
          <w:szCs w:val="24"/>
        </w:rPr>
      </w:pPr>
      <w:r>
        <w:rPr>
          <w:color w:val="000000"/>
          <w:sz w:val="24"/>
          <w:szCs w:val="24"/>
        </w:rPr>
        <w:t>- здания Управления ПФР в городе Твери и Калининском районе;</w:t>
      </w:r>
    </w:p>
    <w:p w:rsidR="00B50D66" w:rsidRPr="00E36CBF" w:rsidRDefault="00B50D66" w:rsidP="00B50D66">
      <w:pPr>
        <w:spacing w:line="288" w:lineRule="auto"/>
        <w:ind w:firstLine="708"/>
        <w:jc w:val="both"/>
        <w:rPr>
          <w:color w:val="000000"/>
          <w:sz w:val="24"/>
          <w:szCs w:val="24"/>
        </w:rPr>
      </w:pPr>
      <w:r>
        <w:rPr>
          <w:color w:val="000000"/>
          <w:sz w:val="24"/>
          <w:szCs w:val="24"/>
        </w:rPr>
        <w:t>- производственного здания АО «Центральное конструкторское бюро транспортного машиностроения» (</w:t>
      </w:r>
      <w:proofErr w:type="spellStart"/>
      <w:r>
        <w:rPr>
          <w:color w:val="000000"/>
          <w:sz w:val="24"/>
          <w:szCs w:val="24"/>
        </w:rPr>
        <w:t>Роскосмос</w:t>
      </w:r>
      <w:proofErr w:type="spellEnd"/>
      <w:r>
        <w:rPr>
          <w:color w:val="000000"/>
          <w:sz w:val="24"/>
          <w:szCs w:val="24"/>
        </w:rPr>
        <w:t>).</w:t>
      </w:r>
    </w:p>
    <w:p w:rsidR="00B50D66" w:rsidRPr="00AA2A4F" w:rsidRDefault="00B50D66" w:rsidP="00B50D66">
      <w:pPr>
        <w:autoSpaceDE w:val="0"/>
        <w:autoSpaceDN w:val="0"/>
        <w:adjustRightInd w:val="0"/>
        <w:spacing w:line="288" w:lineRule="auto"/>
        <w:jc w:val="both"/>
        <w:rPr>
          <w:rFonts w:eastAsia="Calibri"/>
          <w:sz w:val="10"/>
          <w:szCs w:val="24"/>
          <w:lang w:eastAsia="en-US"/>
        </w:rPr>
      </w:pPr>
    </w:p>
    <w:p w:rsidR="00B50D66" w:rsidRPr="00A04D8C" w:rsidRDefault="00B50D66" w:rsidP="00B50D66">
      <w:pPr>
        <w:autoSpaceDE w:val="0"/>
        <w:autoSpaceDN w:val="0"/>
        <w:adjustRightInd w:val="0"/>
        <w:spacing w:line="288" w:lineRule="auto"/>
        <w:jc w:val="both"/>
        <w:rPr>
          <w:b/>
          <w:sz w:val="24"/>
          <w:szCs w:val="24"/>
        </w:rPr>
      </w:pPr>
      <w:r w:rsidRPr="00A04D8C">
        <w:rPr>
          <w:b/>
          <w:sz w:val="24"/>
          <w:szCs w:val="24"/>
        </w:rPr>
        <w:t>10. Ввод в эксплуатацию жилых домов</w:t>
      </w:r>
    </w:p>
    <w:p w:rsidR="00B50D66" w:rsidRPr="00AA2A4F" w:rsidRDefault="00B50D66" w:rsidP="00B50D66">
      <w:pPr>
        <w:widowControl w:val="0"/>
        <w:spacing w:line="288" w:lineRule="auto"/>
        <w:ind w:firstLine="709"/>
        <w:jc w:val="both"/>
        <w:rPr>
          <w:sz w:val="10"/>
          <w:szCs w:val="24"/>
        </w:rPr>
      </w:pPr>
    </w:p>
    <w:p w:rsidR="00B50D66" w:rsidRPr="00A04D8C" w:rsidRDefault="00B50D66" w:rsidP="00B50D66">
      <w:pPr>
        <w:spacing w:line="288" w:lineRule="auto"/>
        <w:ind w:firstLine="708"/>
        <w:jc w:val="both"/>
        <w:rPr>
          <w:sz w:val="24"/>
          <w:szCs w:val="24"/>
        </w:rPr>
      </w:pPr>
      <w:r w:rsidRPr="00A04D8C">
        <w:rPr>
          <w:sz w:val="24"/>
          <w:szCs w:val="24"/>
        </w:rPr>
        <w:t>При прогнозировании показателя «Ввод в эксплуатацию жилых домов за счет всех источников финансирования» учитывались данные, предоставленные департаментом архитектуры и градостроительства администрации города Твери, основанные на выданных разрешениях на строительство жилья.</w:t>
      </w:r>
    </w:p>
    <w:p w:rsidR="00B50D66" w:rsidRPr="00A04D8C" w:rsidRDefault="00B50D66" w:rsidP="00B50D66">
      <w:pPr>
        <w:spacing w:line="288" w:lineRule="auto"/>
        <w:ind w:firstLine="708"/>
        <w:jc w:val="both"/>
        <w:rPr>
          <w:sz w:val="24"/>
          <w:szCs w:val="24"/>
        </w:rPr>
      </w:pPr>
      <w:proofErr w:type="gramStart"/>
      <w:r w:rsidRPr="00A04D8C">
        <w:rPr>
          <w:sz w:val="24"/>
          <w:szCs w:val="24"/>
        </w:rPr>
        <w:t>В 2018 году в г</w:t>
      </w:r>
      <w:r w:rsidR="00AA2A4F">
        <w:rPr>
          <w:sz w:val="24"/>
          <w:szCs w:val="24"/>
        </w:rPr>
        <w:t>ороде</w:t>
      </w:r>
      <w:r w:rsidRPr="00A04D8C">
        <w:rPr>
          <w:sz w:val="24"/>
          <w:szCs w:val="24"/>
        </w:rPr>
        <w:t xml:space="preserve"> Твери предприятиями и организациями всех форм собственности и индивидуальными застройщиками введено жилья 214,9 тыс. кв. м (50,6% от областного объема), что составило 64,9 % к уровню предыдущего года, из них 98,1% жилья (210,8 тыс.</w:t>
      </w:r>
      <w:r w:rsidR="00A3697F">
        <w:rPr>
          <w:sz w:val="24"/>
          <w:szCs w:val="24"/>
        </w:rPr>
        <w:t xml:space="preserve"> </w:t>
      </w:r>
      <w:r w:rsidRPr="00A04D8C">
        <w:rPr>
          <w:sz w:val="24"/>
          <w:szCs w:val="24"/>
        </w:rPr>
        <w:t>кв.</w:t>
      </w:r>
      <w:r w:rsidR="00A3697F">
        <w:rPr>
          <w:sz w:val="24"/>
          <w:szCs w:val="24"/>
        </w:rPr>
        <w:t xml:space="preserve"> </w:t>
      </w:r>
      <w:r w:rsidRPr="00A04D8C">
        <w:rPr>
          <w:sz w:val="24"/>
          <w:szCs w:val="24"/>
        </w:rPr>
        <w:t>м) осуществлено застройщиками – юридическими лицами за счет привлеченных средств населения (долевое участие) и организаций (банков).</w:t>
      </w:r>
      <w:proofErr w:type="gramEnd"/>
    </w:p>
    <w:p w:rsidR="00B50D66" w:rsidRPr="00A04D8C" w:rsidRDefault="00B50D66" w:rsidP="00B50D66">
      <w:pPr>
        <w:spacing w:line="288" w:lineRule="auto"/>
        <w:ind w:firstLine="708"/>
        <w:jc w:val="both"/>
        <w:rPr>
          <w:sz w:val="24"/>
          <w:szCs w:val="24"/>
        </w:rPr>
      </w:pPr>
      <w:r w:rsidRPr="00A04D8C">
        <w:rPr>
          <w:sz w:val="24"/>
          <w:szCs w:val="24"/>
        </w:rPr>
        <w:t>Сокращение значения по вводу в действие общей площади жилых домов в 2018 году произошло в результате более раннего ввода в 2017 году в эксплуатацию многоквартирных жилых домов (МКД), строительство которых планировалось завершить в 2018 году. С опережением плановых сроков в 2017 году были введены 7 МКД:</w:t>
      </w:r>
    </w:p>
    <w:p w:rsidR="00B50D66" w:rsidRPr="00A04D8C" w:rsidRDefault="00B50D66" w:rsidP="00B50D66">
      <w:pPr>
        <w:spacing w:line="288" w:lineRule="auto"/>
        <w:ind w:firstLine="708"/>
        <w:jc w:val="both"/>
        <w:rPr>
          <w:sz w:val="24"/>
          <w:szCs w:val="24"/>
        </w:rPr>
      </w:pPr>
      <w:r w:rsidRPr="00A04D8C">
        <w:rPr>
          <w:sz w:val="24"/>
          <w:szCs w:val="24"/>
        </w:rPr>
        <w:t>- 3 МКД в жилом комплексе «</w:t>
      </w:r>
      <w:proofErr w:type="gramStart"/>
      <w:r w:rsidRPr="00A04D8C">
        <w:rPr>
          <w:sz w:val="24"/>
          <w:szCs w:val="24"/>
        </w:rPr>
        <w:t>Лесная</w:t>
      </w:r>
      <w:proofErr w:type="gramEnd"/>
      <w:r w:rsidRPr="00A04D8C">
        <w:rPr>
          <w:sz w:val="24"/>
          <w:szCs w:val="24"/>
        </w:rPr>
        <w:t xml:space="preserve"> мелодия-2» (49 105 кв.</w:t>
      </w:r>
      <w:r w:rsidR="00A3697F">
        <w:rPr>
          <w:sz w:val="24"/>
          <w:szCs w:val="24"/>
        </w:rPr>
        <w:t xml:space="preserve"> </w:t>
      </w:r>
      <w:r w:rsidRPr="00A04D8C">
        <w:rPr>
          <w:sz w:val="24"/>
          <w:szCs w:val="24"/>
        </w:rPr>
        <w:t xml:space="preserve">м); </w:t>
      </w:r>
    </w:p>
    <w:p w:rsidR="00B50D66" w:rsidRPr="00A04D8C" w:rsidRDefault="00B50D66" w:rsidP="00B50D66">
      <w:pPr>
        <w:spacing w:line="288" w:lineRule="auto"/>
        <w:ind w:firstLine="708"/>
        <w:jc w:val="both"/>
        <w:rPr>
          <w:sz w:val="24"/>
          <w:szCs w:val="24"/>
        </w:rPr>
      </w:pPr>
      <w:r w:rsidRPr="00A04D8C">
        <w:rPr>
          <w:sz w:val="24"/>
          <w:szCs w:val="24"/>
        </w:rPr>
        <w:t xml:space="preserve">- 1 МКД на ул. </w:t>
      </w:r>
      <w:proofErr w:type="spellStart"/>
      <w:r w:rsidRPr="00A04D8C">
        <w:rPr>
          <w:sz w:val="24"/>
          <w:szCs w:val="24"/>
        </w:rPr>
        <w:t>Склизкова</w:t>
      </w:r>
      <w:proofErr w:type="spellEnd"/>
      <w:r w:rsidRPr="00A04D8C">
        <w:rPr>
          <w:sz w:val="24"/>
          <w:szCs w:val="24"/>
        </w:rPr>
        <w:t xml:space="preserve"> (12 216 кв.</w:t>
      </w:r>
      <w:r w:rsidR="00A3697F">
        <w:rPr>
          <w:sz w:val="24"/>
          <w:szCs w:val="24"/>
        </w:rPr>
        <w:t xml:space="preserve"> </w:t>
      </w:r>
      <w:r w:rsidRPr="00A04D8C">
        <w:rPr>
          <w:sz w:val="24"/>
          <w:szCs w:val="24"/>
        </w:rPr>
        <w:t>м);</w:t>
      </w:r>
    </w:p>
    <w:p w:rsidR="00B50D66" w:rsidRPr="00A04D8C" w:rsidRDefault="00B50D66" w:rsidP="00B50D66">
      <w:pPr>
        <w:spacing w:line="288" w:lineRule="auto"/>
        <w:ind w:firstLine="708"/>
        <w:jc w:val="both"/>
        <w:rPr>
          <w:sz w:val="24"/>
          <w:szCs w:val="24"/>
        </w:rPr>
      </w:pPr>
      <w:r w:rsidRPr="00A04D8C">
        <w:rPr>
          <w:sz w:val="24"/>
          <w:szCs w:val="24"/>
        </w:rPr>
        <w:t>- 1 МКД в жилом комплексе «Авиатор» (11 262 кв.</w:t>
      </w:r>
      <w:r w:rsidR="00A3697F">
        <w:rPr>
          <w:sz w:val="24"/>
          <w:szCs w:val="24"/>
        </w:rPr>
        <w:t xml:space="preserve"> </w:t>
      </w:r>
      <w:r w:rsidRPr="00A04D8C">
        <w:rPr>
          <w:sz w:val="24"/>
          <w:szCs w:val="24"/>
        </w:rPr>
        <w:t xml:space="preserve">м); </w:t>
      </w:r>
    </w:p>
    <w:p w:rsidR="00B50D66" w:rsidRPr="00A04D8C" w:rsidRDefault="00B50D66" w:rsidP="00B50D66">
      <w:pPr>
        <w:spacing w:line="288" w:lineRule="auto"/>
        <w:ind w:firstLine="708"/>
        <w:jc w:val="both"/>
        <w:rPr>
          <w:sz w:val="24"/>
          <w:szCs w:val="24"/>
        </w:rPr>
      </w:pPr>
      <w:r w:rsidRPr="00A04D8C">
        <w:rPr>
          <w:sz w:val="24"/>
          <w:szCs w:val="24"/>
        </w:rPr>
        <w:t>- 1 МКД в жилом комплексе «Южанка» (5 310 кв.</w:t>
      </w:r>
      <w:r w:rsidR="00A3697F">
        <w:rPr>
          <w:sz w:val="24"/>
          <w:szCs w:val="24"/>
        </w:rPr>
        <w:t xml:space="preserve"> </w:t>
      </w:r>
      <w:r w:rsidRPr="00A04D8C">
        <w:rPr>
          <w:sz w:val="24"/>
          <w:szCs w:val="24"/>
        </w:rPr>
        <w:t xml:space="preserve">м); </w:t>
      </w:r>
    </w:p>
    <w:p w:rsidR="00B50D66" w:rsidRPr="00A04D8C" w:rsidRDefault="00B50D66" w:rsidP="00B50D66">
      <w:pPr>
        <w:spacing w:line="288" w:lineRule="auto"/>
        <w:ind w:firstLine="708"/>
        <w:jc w:val="both"/>
        <w:rPr>
          <w:sz w:val="24"/>
          <w:szCs w:val="24"/>
        </w:rPr>
      </w:pPr>
      <w:r w:rsidRPr="00A04D8C">
        <w:rPr>
          <w:sz w:val="24"/>
          <w:szCs w:val="24"/>
        </w:rPr>
        <w:t xml:space="preserve">- 1 МКД на </w:t>
      </w:r>
      <w:proofErr w:type="spellStart"/>
      <w:r w:rsidRPr="00A04D8C">
        <w:rPr>
          <w:sz w:val="24"/>
          <w:szCs w:val="24"/>
        </w:rPr>
        <w:t>Рябеевском</w:t>
      </w:r>
      <w:proofErr w:type="spellEnd"/>
      <w:r w:rsidRPr="00A04D8C">
        <w:rPr>
          <w:sz w:val="24"/>
          <w:szCs w:val="24"/>
        </w:rPr>
        <w:t xml:space="preserve"> шоссе (8 087 кв.</w:t>
      </w:r>
      <w:r w:rsidR="00A3697F">
        <w:rPr>
          <w:sz w:val="24"/>
          <w:szCs w:val="24"/>
        </w:rPr>
        <w:t xml:space="preserve"> </w:t>
      </w:r>
      <w:r w:rsidRPr="00A04D8C">
        <w:rPr>
          <w:sz w:val="24"/>
          <w:szCs w:val="24"/>
        </w:rPr>
        <w:t xml:space="preserve">м). </w:t>
      </w:r>
    </w:p>
    <w:p w:rsidR="00B50D66" w:rsidRPr="00A04D8C" w:rsidRDefault="00B50D66" w:rsidP="00B50D66">
      <w:pPr>
        <w:spacing w:line="288" w:lineRule="auto"/>
        <w:ind w:firstLine="708"/>
        <w:jc w:val="both"/>
        <w:rPr>
          <w:sz w:val="24"/>
          <w:szCs w:val="24"/>
        </w:rPr>
      </w:pPr>
      <w:r w:rsidRPr="00A04D8C">
        <w:rPr>
          <w:sz w:val="24"/>
          <w:szCs w:val="24"/>
        </w:rPr>
        <w:t>Дополнительно в 2017 году введены в эксплуатацию 5 МКД застройщика АО «СУ-155», строительство которых было остановлено в 2015 году:</w:t>
      </w:r>
    </w:p>
    <w:p w:rsidR="00B50D66" w:rsidRPr="00A04D8C" w:rsidRDefault="00B50D66" w:rsidP="00B50D66">
      <w:pPr>
        <w:spacing w:line="288" w:lineRule="auto"/>
        <w:ind w:firstLine="708"/>
        <w:jc w:val="both"/>
        <w:rPr>
          <w:sz w:val="24"/>
          <w:szCs w:val="24"/>
        </w:rPr>
      </w:pPr>
      <w:r w:rsidRPr="00A04D8C">
        <w:rPr>
          <w:sz w:val="24"/>
          <w:szCs w:val="24"/>
        </w:rPr>
        <w:t xml:space="preserve">- 3 МКД на ул. </w:t>
      </w:r>
      <w:proofErr w:type="spellStart"/>
      <w:r w:rsidRPr="00A04D8C">
        <w:rPr>
          <w:sz w:val="24"/>
          <w:szCs w:val="24"/>
        </w:rPr>
        <w:t>Оснабрюкская</w:t>
      </w:r>
      <w:proofErr w:type="spellEnd"/>
      <w:r w:rsidRPr="00A04D8C">
        <w:rPr>
          <w:sz w:val="24"/>
          <w:szCs w:val="24"/>
        </w:rPr>
        <w:t xml:space="preserve"> в микрорайоне «</w:t>
      </w:r>
      <w:proofErr w:type="spellStart"/>
      <w:r w:rsidRPr="00A04D8C">
        <w:rPr>
          <w:sz w:val="24"/>
          <w:szCs w:val="24"/>
        </w:rPr>
        <w:t>Мамулино</w:t>
      </w:r>
      <w:proofErr w:type="spellEnd"/>
      <w:r w:rsidRPr="00A04D8C">
        <w:rPr>
          <w:sz w:val="24"/>
          <w:szCs w:val="24"/>
        </w:rPr>
        <w:t xml:space="preserve"> – 3» (32 491 кв.</w:t>
      </w:r>
      <w:r w:rsidR="00A3697F">
        <w:rPr>
          <w:sz w:val="24"/>
          <w:szCs w:val="24"/>
        </w:rPr>
        <w:t xml:space="preserve"> </w:t>
      </w:r>
      <w:r w:rsidRPr="00A04D8C">
        <w:rPr>
          <w:sz w:val="24"/>
          <w:szCs w:val="24"/>
        </w:rPr>
        <w:t>м);</w:t>
      </w:r>
    </w:p>
    <w:p w:rsidR="00B50D66" w:rsidRPr="00A04D8C" w:rsidRDefault="00B50D66" w:rsidP="00B50D66">
      <w:pPr>
        <w:spacing w:line="288" w:lineRule="auto"/>
        <w:ind w:firstLine="708"/>
        <w:jc w:val="both"/>
        <w:rPr>
          <w:sz w:val="24"/>
          <w:szCs w:val="24"/>
        </w:rPr>
      </w:pPr>
      <w:r w:rsidRPr="00A04D8C">
        <w:rPr>
          <w:sz w:val="24"/>
          <w:szCs w:val="24"/>
        </w:rPr>
        <w:t>- 2 МКД в микрорайоне «Радужный» (12 517 кв.</w:t>
      </w:r>
      <w:r w:rsidR="00A3697F">
        <w:rPr>
          <w:sz w:val="24"/>
          <w:szCs w:val="24"/>
        </w:rPr>
        <w:t xml:space="preserve"> </w:t>
      </w:r>
      <w:r w:rsidRPr="00A04D8C">
        <w:rPr>
          <w:sz w:val="24"/>
          <w:szCs w:val="24"/>
        </w:rPr>
        <w:t xml:space="preserve">м). </w:t>
      </w:r>
    </w:p>
    <w:p w:rsidR="00B50D66" w:rsidRPr="00A04D8C" w:rsidRDefault="00B50D66" w:rsidP="00B50D66">
      <w:pPr>
        <w:spacing w:line="288" w:lineRule="auto"/>
        <w:ind w:firstLine="708"/>
        <w:jc w:val="both"/>
        <w:rPr>
          <w:sz w:val="24"/>
          <w:szCs w:val="24"/>
        </w:rPr>
      </w:pPr>
      <w:r w:rsidRPr="00A04D8C">
        <w:rPr>
          <w:sz w:val="24"/>
          <w:szCs w:val="24"/>
        </w:rPr>
        <w:t xml:space="preserve">Таким образом, ожидаемое сокращение в 2018 году ввода жилья по городу Твери, прогнозируемое в 2017 году, оправдалось.  </w:t>
      </w:r>
    </w:p>
    <w:p w:rsidR="00B50D66" w:rsidRPr="00A04D8C" w:rsidRDefault="00B50D66" w:rsidP="00B50D66">
      <w:pPr>
        <w:spacing w:line="288" w:lineRule="auto"/>
        <w:ind w:firstLine="708"/>
        <w:jc w:val="both"/>
        <w:rPr>
          <w:sz w:val="24"/>
          <w:szCs w:val="24"/>
        </w:rPr>
      </w:pPr>
      <w:r w:rsidRPr="00A04D8C">
        <w:rPr>
          <w:sz w:val="24"/>
          <w:szCs w:val="24"/>
        </w:rPr>
        <w:lastRenderedPageBreak/>
        <w:t xml:space="preserve">В 2019 году объем вводимого жилья оценивается на уровне 2018 года (100,0%). По сравнению с 2018 годом в текущем году ожидается увеличение показателей по объему вводимых объектов индивидуального жилищного строительства. В связи с внесением изменений в Градостроительный кодекс Российской Федерации регистрация построенных индивидуальных домов осуществляется путем направления в орган регистрации уведомления о соответствии построенного объекта градостроительным требованиям. Данные уведомления выдаются департаментом архитектуры и градостроительства администрации города Твери, в </w:t>
      </w:r>
      <w:proofErr w:type="gramStart"/>
      <w:r w:rsidRPr="00A04D8C">
        <w:rPr>
          <w:sz w:val="24"/>
          <w:szCs w:val="24"/>
        </w:rPr>
        <w:t>связи</w:t>
      </w:r>
      <w:proofErr w:type="gramEnd"/>
      <w:r w:rsidRPr="00A04D8C">
        <w:rPr>
          <w:sz w:val="24"/>
          <w:szCs w:val="24"/>
        </w:rPr>
        <w:t xml:space="preserve"> с чем появляется возможность учета фактически введённых в эксплуатацию площадей. </w:t>
      </w:r>
    </w:p>
    <w:p w:rsidR="00B50D66" w:rsidRPr="00A04D8C" w:rsidRDefault="00B50D66" w:rsidP="00B50D66">
      <w:pPr>
        <w:spacing w:line="288" w:lineRule="auto"/>
        <w:ind w:firstLine="708"/>
        <w:jc w:val="both"/>
        <w:rPr>
          <w:sz w:val="24"/>
          <w:szCs w:val="24"/>
        </w:rPr>
      </w:pPr>
      <w:r w:rsidRPr="00A04D8C">
        <w:rPr>
          <w:sz w:val="24"/>
          <w:szCs w:val="24"/>
        </w:rPr>
        <w:t>В 2020-2025 годах прогнозируется стагнация рынка жилья (100,9% - 102,3</w:t>
      </w:r>
      <w:r>
        <w:rPr>
          <w:sz w:val="24"/>
          <w:szCs w:val="24"/>
        </w:rPr>
        <w:t>%</w:t>
      </w:r>
      <w:r w:rsidRPr="00A04D8C">
        <w:rPr>
          <w:sz w:val="24"/>
          <w:szCs w:val="24"/>
        </w:rPr>
        <w:t xml:space="preserve">), которая, в частности, связана с корректировкой законодательства о долевом строительстве. </w:t>
      </w:r>
      <w:proofErr w:type="gramStart"/>
      <w:r w:rsidRPr="00A04D8C">
        <w:rPr>
          <w:sz w:val="24"/>
          <w:szCs w:val="24"/>
        </w:rPr>
        <w:t xml:space="preserve">Смена механизма финансирования строительства жилья (переход с середины 2018 года с долевого строительства жилья на банковское финансирование в связи с изменениями федерального закона от 30.12.2004 № 214-ФЗ </w:t>
      </w:r>
      <w:r w:rsidRPr="00A04D8C">
        <w:rPr>
          <w:sz w:val="24"/>
          <w:szCs w:val="24"/>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04D8C">
        <w:rPr>
          <w:sz w:val="24"/>
          <w:szCs w:val="24"/>
        </w:rPr>
        <w:t>, усложнила работу застройщикам и, как следствие, сдерживает темпы роста ввода жилья.</w:t>
      </w:r>
      <w:proofErr w:type="gramEnd"/>
      <w:r w:rsidRPr="00A04D8C">
        <w:rPr>
          <w:sz w:val="24"/>
          <w:szCs w:val="24"/>
        </w:rPr>
        <w:t xml:space="preserve"> Переход застройщиков, привлекающих денежные средства участников долевого строительства, на проектное финансирование с использованием </w:t>
      </w:r>
      <w:proofErr w:type="spellStart"/>
      <w:r w:rsidRPr="00A04D8C">
        <w:rPr>
          <w:sz w:val="24"/>
          <w:szCs w:val="24"/>
        </w:rPr>
        <w:t>эскроу</w:t>
      </w:r>
      <w:proofErr w:type="spellEnd"/>
      <w:r w:rsidRPr="00A04D8C">
        <w:rPr>
          <w:sz w:val="24"/>
          <w:szCs w:val="24"/>
        </w:rPr>
        <w:t>-счетов привело к увеличению сроков строительства по причине получения кредитных средств. Вследствие чего прогнозируется увеличение стоимости квадратного метра не менее чем на 10%. Это негативно скажется на объемах вводимого жилья и не позволит значительно увеличить данный показатель. Кроме этого, снижение темпов роста ввода жилья объясняется ограниченным количеством свободных земельных участков под строительство многоквартирных жилых домов на территории города Твери и сложившейся сбалансированностью между обеспеченным спросом населения на жилье и его предложением на территории города.</w:t>
      </w:r>
    </w:p>
    <w:p w:rsidR="00B50D66" w:rsidRPr="00EF78C0" w:rsidRDefault="00B50D66" w:rsidP="00B50D66">
      <w:pPr>
        <w:widowControl w:val="0"/>
        <w:spacing w:line="288" w:lineRule="auto"/>
        <w:jc w:val="center"/>
        <w:rPr>
          <w:color w:val="003399"/>
          <w:sz w:val="24"/>
          <w:szCs w:val="24"/>
        </w:rPr>
      </w:pPr>
      <w:r w:rsidRPr="00EF78C0">
        <w:rPr>
          <w:b/>
          <w:noProof/>
          <w:color w:val="003399"/>
          <w:sz w:val="24"/>
          <w:szCs w:val="24"/>
        </w:rPr>
        <w:drawing>
          <wp:inline distT="0" distB="0" distL="0" distR="0" wp14:anchorId="4DF33D42" wp14:editId="0781FB80">
            <wp:extent cx="6464595" cy="2806996"/>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F1143" w:rsidRPr="001B1E6F" w:rsidRDefault="003F1143" w:rsidP="00D80ECF">
      <w:pPr>
        <w:spacing w:line="288" w:lineRule="auto"/>
        <w:rPr>
          <w:sz w:val="24"/>
          <w:szCs w:val="24"/>
        </w:rPr>
      </w:pPr>
    </w:p>
    <w:p w:rsidR="001D53D5" w:rsidRPr="001B1E6F" w:rsidRDefault="001D53D5" w:rsidP="00D80ECF">
      <w:pPr>
        <w:spacing w:line="288" w:lineRule="auto"/>
        <w:rPr>
          <w:sz w:val="24"/>
          <w:szCs w:val="24"/>
        </w:rPr>
      </w:pPr>
    </w:p>
    <w:p w:rsidR="006B7BED" w:rsidRDefault="006B7BED" w:rsidP="00DF60DC">
      <w:pPr>
        <w:rPr>
          <w:sz w:val="24"/>
          <w:szCs w:val="24"/>
        </w:rPr>
      </w:pPr>
    </w:p>
    <w:p w:rsidR="00815558" w:rsidRPr="00EF78C0" w:rsidRDefault="003128C5" w:rsidP="00DF60DC">
      <w:pPr>
        <w:rPr>
          <w:color w:val="003399"/>
          <w:sz w:val="24"/>
          <w:szCs w:val="24"/>
          <w14:shadow w14:blurRad="50800" w14:dist="38100" w14:dir="13500000" w14:sx="100000" w14:sy="100000" w14:kx="0" w14:ky="0" w14:algn="br">
            <w14:srgbClr w14:val="000000">
              <w14:alpha w14:val="60000"/>
            </w14:srgbClr>
          </w14:shadow>
        </w:rPr>
      </w:pPr>
      <w:r w:rsidRPr="00EF78C0">
        <w:rPr>
          <w:sz w:val="24"/>
          <w:szCs w:val="24"/>
        </w:rPr>
        <w:t>Н</w:t>
      </w:r>
      <w:r w:rsidR="004B21A4" w:rsidRPr="00EF78C0">
        <w:rPr>
          <w:sz w:val="24"/>
          <w:szCs w:val="24"/>
        </w:rPr>
        <w:t xml:space="preserve">ачальник </w:t>
      </w:r>
      <w:proofErr w:type="gramStart"/>
      <w:r w:rsidR="004B21A4" w:rsidRPr="00EF78C0">
        <w:rPr>
          <w:sz w:val="24"/>
          <w:szCs w:val="24"/>
        </w:rPr>
        <w:t>департамента экономи</w:t>
      </w:r>
      <w:r w:rsidR="00D31554" w:rsidRPr="00EF78C0">
        <w:rPr>
          <w:sz w:val="24"/>
          <w:szCs w:val="24"/>
        </w:rPr>
        <w:t xml:space="preserve">ческого </w:t>
      </w:r>
      <w:r w:rsidR="00D31554" w:rsidRPr="00EF78C0">
        <w:rPr>
          <w:sz w:val="24"/>
          <w:szCs w:val="24"/>
        </w:rPr>
        <w:br/>
        <w:t>развития администрации города Твери</w:t>
      </w:r>
      <w:proofErr w:type="gramEnd"/>
      <w:r w:rsidR="00D31554" w:rsidRPr="00EF78C0">
        <w:rPr>
          <w:sz w:val="24"/>
          <w:szCs w:val="24"/>
        </w:rPr>
        <w:tab/>
      </w:r>
      <w:r w:rsidR="00D31554" w:rsidRPr="00EF78C0">
        <w:rPr>
          <w:sz w:val="24"/>
          <w:szCs w:val="24"/>
        </w:rPr>
        <w:tab/>
      </w:r>
      <w:r w:rsidR="00D31554" w:rsidRPr="00EF78C0">
        <w:rPr>
          <w:sz w:val="24"/>
          <w:szCs w:val="24"/>
        </w:rPr>
        <w:tab/>
      </w:r>
      <w:r w:rsidR="00D31554" w:rsidRPr="00EF78C0">
        <w:rPr>
          <w:sz w:val="24"/>
          <w:szCs w:val="24"/>
        </w:rPr>
        <w:tab/>
      </w:r>
      <w:r w:rsidR="00D31554" w:rsidRPr="00EF78C0">
        <w:rPr>
          <w:sz w:val="24"/>
          <w:szCs w:val="24"/>
        </w:rPr>
        <w:tab/>
      </w:r>
      <w:r w:rsidR="00D31554" w:rsidRPr="00EF78C0">
        <w:rPr>
          <w:sz w:val="24"/>
          <w:szCs w:val="24"/>
        </w:rPr>
        <w:tab/>
        <w:t xml:space="preserve">  </w:t>
      </w:r>
      <w:r w:rsidR="00E339C2">
        <w:rPr>
          <w:sz w:val="24"/>
          <w:szCs w:val="24"/>
        </w:rPr>
        <w:t xml:space="preserve">     </w:t>
      </w:r>
      <w:r w:rsidR="00E339C2">
        <w:rPr>
          <w:sz w:val="24"/>
          <w:szCs w:val="24"/>
        </w:rPr>
        <w:tab/>
        <w:t xml:space="preserve">       </w:t>
      </w:r>
      <w:r w:rsidR="00D31554" w:rsidRPr="00EF78C0">
        <w:rPr>
          <w:sz w:val="24"/>
          <w:szCs w:val="24"/>
        </w:rPr>
        <w:t>П.С. Петров</w:t>
      </w:r>
    </w:p>
    <w:sectPr w:rsidR="00815558" w:rsidRPr="00EF78C0" w:rsidSect="005B22E3">
      <w:headerReference w:type="even" r:id="rId34"/>
      <w:headerReference w:type="default" r:id="rId35"/>
      <w:footerReference w:type="even" r:id="rId36"/>
      <w:footerReference w:type="default" r:id="rId37"/>
      <w:pgSz w:w="11907" w:h="16840" w:code="9"/>
      <w:pgMar w:top="1134" w:right="567" w:bottom="1134" w:left="1134" w:header="284"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69" w:rsidRDefault="008B1069">
      <w:r>
        <w:separator/>
      </w:r>
    </w:p>
  </w:endnote>
  <w:endnote w:type="continuationSeparator" w:id="0">
    <w:p w:rsidR="008B1069" w:rsidRDefault="008B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69" w:rsidRDefault="008B1069" w:rsidP="0058728D">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B1069" w:rsidRDefault="008B1069" w:rsidP="005872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69" w:rsidRDefault="008B1069" w:rsidP="0058728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69" w:rsidRDefault="008B1069">
      <w:r>
        <w:separator/>
      </w:r>
    </w:p>
  </w:footnote>
  <w:footnote w:type="continuationSeparator" w:id="0">
    <w:p w:rsidR="008B1069" w:rsidRDefault="008B1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69" w:rsidRDefault="008B106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p>
  <w:p w:rsidR="008B1069" w:rsidRDefault="008B106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62653"/>
      <w:docPartObj>
        <w:docPartGallery w:val="Page Numbers (Top of Page)"/>
        <w:docPartUnique/>
      </w:docPartObj>
    </w:sdtPr>
    <w:sdtEndPr/>
    <w:sdtContent>
      <w:p w:rsidR="008B1069" w:rsidRDefault="008B1069" w:rsidP="004A2BF6">
        <w:pPr>
          <w:pStyle w:val="a5"/>
          <w:jc w:val="center"/>
        </w:pPr>
        <w:r>
          <w:fldChar w:fldCharType="begin"/>
        </w:r>
        <w:r>
          <w:instrText>PAGE   \* MERGEFORMAT</w:instrText>
        </w:r>
        <w:r>
          <w:fldChar w:fldCharType="separate"/>
        </w:r>
        <w:r w:rsidR="00B95F80">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076"/>
    <w:multiLevelType w:val="hybridMultilevel"/>
    <w:tmpl w:val="4FF0148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BB7BA0"/>
    <w:multiLevelType w:val="hybridMultilevel"/>
    <w:tmpl w:val="0EB698A8"/>
    <w:lvl w:ilvl="0" w:tplc="DF4C0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C1555"/>
    <w:multiLevelType w:val="hybridMultilevel"/>
    <w:tmpl w:val="419A2B5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7C0081"/>
    <w:multiLevelType w:val="hybridMultilevel"/>
    <w:tmpl w:val="1C625958"/>
    <w:lvl w:ilvl="0" w:tplc="2138CE3C">
      <w:numFmt w:val="bullet"/>
      <w:lvlText w:val=""/>
      <w:lvlJc w:val="left"/>
      <w:pPr>
        <w:tabs>
          <w:tab w:val="num" w:pos="747"/>
        </w:tabs>
        <w:ind w:left="747" w:hanging="283"/>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78C3D93"/>
    <w:multiLevelType w:val="hybridMultilevel"/>
    <w:tmpl w:val="DA7432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87779C7"/>
    <w:multiLevelType w:val="hybridMultilevel"/>
    <w:tmpl w:val="EA8A7734"/>
    <w:lvl w:ilvl="0" w:tplc="96605F00">
      <w:start w:val="1"/>
      <w:numFmt w:val="decimal"/>
      <w:lvlText w:val="%1)"/>
      <w:lvlJc w:val="left"/>
      <w:pPr>
        <w:tabs>
          <w:tab w:val="num" w:pos="1625"/>
        </w:tabs>
        <w:ind w:left="1625" w:hanging="94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
    <w:nsid w:val="08AD7FE4"/>
    <w:multiLevelType w:val="hybridMultilevel"/>
    <w:tmpl w:val="3600E7E4"/>
    <w:lvl w:ilvl="0" w:tplc="AB42B0E6">
      <w:start w:val="1"/>
      <w:numFmt w:val="bullet"/>
      <w:lvlText w:val=""/>
      <w:lvlJc w:val="left"/>
      <w:pPr>
        <w:tabs>
          <w:tab w:val="num" w:pos="511"/>
        </w:tabs>
        <w:ind w:left="511" w:hanging="227"/>
      </w:pPr>
      <w:rPr>
        <w:rFonts w:ascii="Symbol" w:hAnsi="Symbol" w:hint="default"/>
        <w:color w:val="auto"/>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CBD4DD0"/>
    <w:multiLevelType w:val="hybridMultilevel"/>
    <w:tmpl w:val="B3DCB25A"/>
    <w:lvl w:ilvl="0" w:tplc="EB107A9A">
      <w:numFmt w:val="bullet"/>
      <w:lvlText w:val=""/>
      <w:lvlJc w:val="left"/>
      <w:pPr>
        <w:tabs>
          <w:tab w:val="num" w:pos="1363"/>
        </w:tabs>
        <w:ind w:left="1363"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5B58FE"/>
    <w:multiLevelType w:val="hybridMultilevel"/>
    <w:tmpl w:val="A40CC7C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92541F"/>
    <w:multiLevelType w:val="hybridMultilevel"/>
    <w:tmpl w:val="50B81FCC"/>
    <w:lvl w:ilvl="0" w:tplc="D0805F5A">
      <w:start w:val="1"/>
      <w:numFmt w:val="bullet"/>
      <w:lvlText w:val=""/>
      <w:lvlJc w:val="left"/>
      <w:pPr>
        <w:tabs>
          <w:tab w:val="num" w:pos="284"/>
        </w:tabs>
        <w:ind w:left="284" w:firstLine="64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5156B13"/>
    <w:multiLevelType w:val="hybridMultilevel"/>
    <w:tmpl w:val="ECDA2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C05862"/>
    <w:multiLevelType w:val="hybridMultilevel"/>
    <w:tmpl w:val="8A58D422"/>
    <w:lvl w:ilvl="0" w:tplc="132A7ECC">
      <w:start w:val="1"/>
      <w:numFmt w:val="decimal"/>
      <w:lvlText w:val="%1)"/>
      <w:lvlJc w:val="left"/>
      <w:pPr>
        <w:tabs>
          <w:tab w:val="num" w:pos="784"/>
        </w:tabs>
        <w:ind w:left="784" w:hanging="360"/>
      </w:pPr>
      <w:rPr>
        <w:rFonts w:hint="default"/>
      </w:r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2">
    <w:nsid w:val="1CD30065"/>
    <w:multiLevelType w:val="hybridMultilevel"/>
    <w:tmpl w:val="24FC39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D11F2"/>
    <w:multiLevelType w:val="hybridMultilevel"/>
    <w:tmpl w:val="3CF01E8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25E908A6"/>
    <w:multiLevelType w:val="hybridMultilevel"/>
    <w:tmpl w:val="0BC02200"/>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26071BDA"/>
    <w:multiLevelType w:val="hybridMultilevel"/>
    <w:tmpl w:val="3F7007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D4343C"/>
    <w:multiLevelType w:val="hybridMultilevel"/>
    <w:tmpl w:val="5BAE983C"/>
    <w:lvl w:ilvl="0" w:tplc="2138CE3C">
      <w:numFmt w:val="bullet"/>
      <w:lvlText w:val=""/>
      <w:lvlJc w:val="left"/>
      <w:pPr>
        <w:tabs>
          <w:tab w:val="num" w:pos="1276"/>
        </w:tabs>
        <w:ind w:left="1276" w:hanging="283"/>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2291295"/>
    <w:multiLevelType w:val="hybridMultilevel"/>
    <w:tmpl w:val="25F8E804"/>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20041B"/>
    <w:multiLevelType w:val="hybridMultilevel"/>
    <w:tmpl w:val="0C6E4B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E21EE6"/>
    <w:multiLevelType w:val="hybridMultilevel"/>
    <w:tmpl w:val="40822C6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4B11845"/>
    <w:multiLevelType w:val="hybridMultilevel"/>
    <w:tmpl w:val="355A328C"/>
    <w:lvl w:ilvl="0" w:tplc="6CF09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760C4"/>
    <w:multiLevelType w:val="hybridMultilevel"/>
    <w:tmpl w:val="12B4D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C21CDB"/>
    <w:multiLevelType w:val="hybridMultilevel"/>
    <w:tmpl w:val="7BFA848A"/>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E3485F"/>
    <w:multiLevelType w:val="hybridMultilevel"/>
    <w:tmpl w:val="6B4488D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3F5F5B6C"/>
    <w:multiLevelType w:val="hybridMultilevel"/>
    <w:tmpl w:val="0082B24C"/>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D5729A"/>
    <w:multiLevelType w:val="hybridMultilevel"/>
    <w:tmpl w:val="9C68D222"/>
    <w:lvl w:ilvl="0" w:tplc="F9AC0778">
      <w:start w:val="1"/>
      <w:numFmt w:val="bullet"/>
      <w:lvlText w:val=""/>
      <w:lvlJc w:val="left"/>
      <w:pPr>
        <w:tabs>
          <w:tab w:val="num" w:pos="2024"/>
        </w:tabs>
        <w:ind w:left="2024" w:hanging="2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07975E2"/>
    <w:multiLevelType w:val="hybridMultilevel"/>
    <w:tmpl w:val="76DC5C4A"/>
    <w:lvl w:ilvl="0" w:tplc="E0D4C1F6">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C62B9F"/>
    <w:multiLevelType w:val="hybridMultilevel"/>
    <w:tmpl w:val="9CFA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E927D6"/>
    <w:multiLevelType w:val="hybridMultilevel"/>
    <w:tmpl w:val="DFD800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5305951"/>
    <w:multiLevelType w:val="hybridMultilevel"/>
    <w:tmpl w:val="7DF0EB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5639C5"/>
    <w:multiLevelType w:val="hybridMultilevel"/>
    <w:tmpl w:val="6088C026"/>
    <w:lvl w:ilvl="0" w:tplc="FEBAD6D0">
      <w:start w:val="1"/>
      <w:numFmt w:val="bullet"/>
      <w:lvlText w:val=""/>
      <w:lvlJc w:val="left"/>
      <w:pPr>
        <w:tabs>
          <w:tab w:val="num" w:pos="502"/>
        </w:tabs>
        <w:ind w:left="502" w:hanging="360"/>
      </w:pPr>
      <w:rPr>
        <w:rFonts w:ascii="Wingdings" w:hAnsi="Wingdings" w:hint="default"/>
        <w:color w:val="auto"/>
      </w:rPr>
    </w:lvl>
    <w:lvl w:ilvl="1" w:tplc="A8625482" w:tentative="1">
      <w:start w:val="1"/>
      <w:numFmt w:val="bullet"/>
      <w:lvlText w:val="-"/>
      <w:lvlJc w:val="left"/>
      <w:pPr>
        <w:tabs>
          <w:tab w:val="num" w:pos="1222"/>
        </w:tabs>
        <w:ind w:left="1222" w:hanging="360"/>
      </w:pPr>
      <w:rPr>
        <w:rFonts w:ascii="Times New Roman" w:hAnsi="Times New Roman" w:hint="default"/>
      </w:rPr>
    </w:lvl>
    <w:lvl w:ilvl="2" w:tplc="7E306EDA" w:tentative="1">
      <w:start w:val="1"/>
      <w:numFmt w:val="bullet"/>
      <w:lvlText w:val="-"/>
      <w:lvlJc w:val="left"/>
      <w:pPr>
        <w:tabs>
          <w:tab w:val="num" w:pos="1942"/>
        </w:tabs>
        <w:ind w:left="1942" w:hanging="360"/>
      </w:pPr>
      <w:rPr>
        <w:rFonts w:ascii="Times New Roman" w:hAnsi="Times New Roman" w:hint="default"/>
      </w:rPr>
    </w:lvl>
    <w:lvl w:ilvl="3" w:tplc="41A4ABB2" w:tentative="1">
      <w:start w:val="1"/>
      <w:numFmt w:val="bullet"/>
      <w:lvlText w:val="-"/>
      <w:lvlJc w:val="left"/>
      <w:pPr>
        <w:tabs>
          <w:tab w:val="num" w:pos="2662"/>
        </w:tabs>
        <w:ind w:left="2662" w:hanging="360"/>
      </w:pPr>
      <w:rPr>
        <w:rFonts w:ascii="Times New Roman" w:hAnsi="Times New Roman" w:hint="default"/>
      </w:rPr>
    </w:lvl>
    <w:lvl w:ilvl="4" w:tplc="7002549A" w:tentative="1">
      <w:start w:val="1"/>
      <w:numFmt w:val="bullet"/>
      <w:lvlText w:val="-"/>
      <w:lvlJc w:val="left"/>
      <w:pPr>
        <w:tabs>
          <w:tab w:val="num" w:pos="3382"/>
        </w:tabs>
        <w:ind w:left="3382" w:hanging="360"/>
      </w:pPr>
      <w:rPr>
        <w:rFonts w:ascii="Times New Roman" w:hAnsi="Times New Roman" w:hint="default"/>
      </w:rPr>
    </w:lvl>
    <w:lvl w:ilvl="5" w:tplc="04602CA8" w:tentative="1">
      <w:start w:val="1"/>
      <w:numFmt w:val="bullet"/>
      <w:lvlText w:val="-"/>
      <w:lvlJc w:val="left"/>
      <w:pPr>
        <w:tabs>
          <w:tab w:val="num" w:pos="4102"/>
        </w:tabs>
        <w:ind w:left="4102" w:hanging="360"/>
      </w:pPr>
      <w:rPr>
        <w:rFonts w:ascii="Times New Roman" w:hAnsi="Times New Roman" w:hint="default"/>
      </w:rPr>
    </w:lvl>
    <w:lvl w:ilvl="6" w:tplc="81F063F4" w:tentative="1">
      <w:start w:val="1"/>
      <w:numFmt w:val="bullet"/>
      <w:lvlText w:val="-"/>
      <w:lvlJc w:val="left"/>
      <w:pPr>
        <w:tabs>
          <w:tab w:val="num" w:pos="4822"/>
        </w:tabs>
        <w:ind w:left="4822" w:hanging="360"/>
      </w:pPr>
      <w:rPr>
        <w:rFonts w:ascii="Times New Roman" w:hAnsi="Times New Roman" w:hint="default"/>
      </w:rPr>
    </w:lvl>
    <w:lvl w:ilvl="7" w:tplc="1DC0C482" w:tentative="1">
      <w:start w:val="1"/>
      <w:numFmt w:val="bullet"/>
      <w:lvlText w:val="-"/>
      <w:lvlJc w:val="left"/>
      <w:pPr>
        <w:tabs>
          <w:tab w:val="num" w:pos="5542"/>
        </w:tabs>
        <w:ind w:left="5542" w:hanging="360"/>
      </w:pPr>
      <w:rPr>
        <w:rFonts w:ascii="Times New Roman" w:hAnsi="Times New Roman" w:hint="default"/>
      </w:rPr>
    </w:lvl>
    <w:lvl w:ilvl="8" w:tplc="3F6C72A0" w:tentative="1">
      <w:start w:val="1"/>
      <w:numFmt w:val="bullet"/>
      <w:lvlText w:val="-"/>
      <w:lvlJc w:val="left"/>
      <w:pPr>
        <w:tabs>
          <w:tab w:val="num" w:pos="6262"/>
        </w:tabs>
        <w:ind w:left="6262" w:hanging="360"/>
      </w:pPr>
      <w:rPr>
        <w:rFonts w:ascii="Times New Roman" w:hAnsi="Times New Roman" w:hint="default"/>
      </w:rPr>
    </w:lvl>
  </w:abstractNum>
  <w:abstractNum w:abstractNumId="31">
    <w:nsid w:val="59874DDB"/>
    <w:multiLevelType w:val="hybridMultilevel"/>
    <w:tmpl w:val="B5143F76"/>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2">
    <w:nsid w:val="5A0E2480"/>
    <w:multiLevelType w:val="hybridMultilevel"/>
    <w:tmpl w:val="B19A1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1F7D99"/>
    <w:multiLevelType w:val="hybridMultilevel"/>
    <w:tmpl w:val="7A40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36D1B6D"/>
    <w:multiLevelType w:val="hybridMultilevel"/>
    <w:tmpl w:val="E228CB28"/>
    <w:lvl w:ilvl="0" w:tplc="D36A1F1E">
      <w:start w:val="1"/>
      <w:numFmt w:val="bullet"/>
      <w:lvlText w:val=""/>
      <w:lvlJc w:val="left"/>
      <w:pPr>
        <w:tabs>
          <w:tab w:val="num" w:pos="369"/>
        </w:tabs>
        <w:ind w:left="-275" w:firstLine="64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3DD6ADA"/>
    <w:multiLevelType w:val="hybridMultilevel"/>
    <w:tmpl w:val="D638D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DCF6504"/>
    <w:multiLevelType w:val="hybridMultilevel"/>
    <w:tmpl w:val="04905CBE"/>
    <w:lvl w:ilvl="0" w:tplc="69181DA2">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719B2867"/>
    <w:multiLevelType w:val="hybridMultilevel"/>
    <w:tmpl w:val="3F60C18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75D12943"/>
    <w:multiLevelType w:val="hybridMultilevel"/>
    <w:tmpl w:val="376EF250"/>
    <w:lvl w:ilvl="0" w:tplc="0419000D">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9">
    <w:nsid w:val="76A02F5D"/>
    <w:multiLevelType w:val="hybridMultilevel"/>
    <w:tmpl w:val="812E4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53ED5"/>
    <w:multiLevelType w:val="hybridMultilevel"/>
    <w:tmpl w:val="5A5C040C"/>
    <w:lvl w:ilvl="0" w:tplc="2138CE3C">
      <w:numFmt w:val="bullet"/>
      <w:lvlText w:val=""/>
      <w:lvlJc w:val="left"/>
      <w:pPr>
        <w:tabs>
          <w:tab w:val="num" w:pos="1107"/>
        </w:tabs>
        <w:ind w:left="1107" w:hanging="28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9D3537D"/>
    <w:multiLevelType w:val="hybridMultilevel"/>
    <w:tmpl w:val="648471DA"/>
    <w:lvl w:ilvl="0" w:tplc="B8F404A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ACB0646"/>
    <w:multiLevelType w:val="hybridMultilevel"/>
    <w:tmpl w:val="C1881F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DAA2B73"/>
    <w:multiLevelType w:val="hybridMultilevel"/>
    <w:tmpl w:val="217624FA"/>
    <w:lvl w:ilvl="0" w:tplc="4FCEE3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6"/>
  </w:num>
  <w:num w:numId="3">
    <w:abstractNumId w:val="2"/>
  </w:num>
  <w:num w:numId="4">
    <w:abstractNumId w:val="7"/>
  </w:num>
  <w:num w:numId="5">
    <w:abstractNumId w:val="11"/>
  </w:num>
  <w:num w:numId="6">
    <w:abstractNumId w:val="5"/>
  </w:num>
  <w:num w:numId="7">
    <w:abstractNumId w:val="4"/>
  </w:num>
  <w:num w:numId="8">
    <w:abstractNumId w:val="41"/>
  </w:num>
  <w:num w:numId="9">
    <w:abstractNumId w:val="16"/>
  </w:num>
  <w:num w:numId="10">
    <w:abstractNumId w:val="40"/>
  </w:num>
  <w:num w:numId="11">
    <w:abstractNumId w:val="3"/>
  </w:num>
  <w:num w:numId="12">
    <w:abstractNumId w:val="9"/>
  </w:num>
  <w:num w:numId="13">
    <w:abstractNumId w:val="34"/>
  </w:num>
  <w:num w:numId="14">
    <w:abstractNumId w:val="31"/>
  </w:num>
  <w:num w:numId="15">
    <w:abstractNumId w:val="24"/>
  </w:num>
  <w:num w:numId="16">
    <w:abstractNumId w:val="32"/>
  </w:num>
  <w:num w:numId="17">
    <w:abstractNumId w:val="42"/>
  </w:num>
  <w:num w:numId="18">
    <w:abstractNumId w:val="38"/>
  </w:num>
  <w:num w:numId="19">
    <w:abstractNumId w:val="27"/>
  </w:num>
  <w:num w:numId="20">
    <w:abstractNumId w:val="13"/>
  </w:num>
  <w:num w:numId="21">
    <w:abstractNumId w:val="30"/>
  </w:num>
  <w:num w:numId="22">
    <w:abstractNumId w:val="37"/>
  </w:num>
  <w:num w:numId="23">
    <w:abstractNumId w:val="29"/>
  </w:num>
  <w:num w:numId="24">
    <w:abstractNumId w:val="28"/>
  </w:num>
  <w:num w:numId="25">
    <w:abstractNumId w:val="3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23"/>
  </w:num>
  <w:num w:numId="34">
    <w:abstractNumId w:val="18"/>
  </w:num>
  <w:num w:numId="35">
    <w:abstractNumId w:val="36"/>
  </w:num>
  <w:num w:numId="36">
    <w:abstractNumId w:val="21"/>
  </w:num>
  <w:num w:numId="37">
    <w:abstractNumId w:val="10"/>
  </w:num>
  <w:num w:numId="38">
    <w:abstractNumId w:val="12"/>
  </w:num>
  <w:num w:numId="39">
    <w:abstractNumId w:val="1"/>
  </w:num>
  <w:num w:numId="40">
    <w:abstractNumId w:val="17"/>
  </w:num>
  <w:num w:numId="41">
    <w:abstractNumId w:val="43"/>
  </w:num>
  <w:num w:numId="42">
    <w:abstractNumId w:val="22"/>
  </w:num>
  <w:num w:numId="43">
    <w:abstractNumId w:val="0"/>
  </w:num>
  <w:num w:numId="44">
    <w:abstractNumId w:val="3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8D"/>
    <w:rsid w:val="00000213"/>
    <w:rsid w:val="00001B02"/>
    <w:rsid w:val="00001D04"/>
    <w:rsid w:val="00002A33"/>
    <w:rsid w:val="00002E92"/>
    <w:rsid w:val="00003130"/>
    <w:rsid w:val="000037C3"/>
    <w:rsid w:val="00003917"/>
    <w:rsid w:val="00004D00"/>
    <w:rsid w:val="000051FF"/>
    <w:rsid w:val="00007159"/>
    <w:rsid w:val="000076CA"/>
    <w:rsid w:val="00007A8E"/>
    <w:rsid w:val="00007C82"/>
    <w:rsid w:val="0001060B"/>
    <w:rsid w:val="00010F64"/>
    <w:rsid w:val="00011EE2"/>
    <w:rsid w:val="0001259C"/>
    <w:rsid w:val="0001319D"/>
    <w:rsid w:val="00014C89"/>
    <w:rsid w:val="00014FB8"/>
    <w:rsid w:val="00015356"/>
    <w:rsid w:val="00015EC1"/>
    <w:rsid w:val="00016476"/>
    <w:rsid w:val="00016D38"/>
    <w:rsid w:val="00017660"/>
    <w:rsid w:val="00020626"/>
    <w:rsid w:val="0002103D"/>
    <w:rsid w:val="000212BB"/>
    <w:rsid w:val="00022482"/>
    <w:rsid w:val="00025F02"/>
    <w:rsid w:val="000266FD"/>
    <w:rsid w:val="00027237"/>
    <w:rsid w:val="00027FB8"/>
    <w:rsid w:val="00030BDA"/>
    <w:rsid w:val="000315D8"/>
    <w:rsid w:val="00031AEE"/>
    <w:rsid w:val="00032CAB"/>
    <w:rsid w:val="000343E0"/>
    <w:rsid w:val="00036D8B"/>
    <w:rsid w:val="00036D8C"/>
    <w:rsid w:val="0003736C"/>
    <w:rsid w:val="000379AC"/>
    <w:rsid w:val="00037E15"/>
    <w:rsid w:val="00040C92"/>
    <w:rsid w:val="00041776"/>
    <w:rsid w:val="000424CB"/>
    <w:rsid w:val="000454AA"/>
    <w:rsid w:val="00045850"/>
    <w:rsid w:val="00045993"/>
    <w:rsid w:val="00045CF9"/>
    <w:rsid w:val="00046EA6"/>
    <w:rsid w:val="0005000D"/>
    <w:rsid w:val="00050963"/>
    <w:rsid w:val="00051979"/>
    <w:rsid w:val="00051DEF"/>
    <w:rsid w:val="00052474"/>
    <w:rsid w:val="00052573"/>
    <w:rsid w:val="0005274A"/>
    <w:rsid w:val="000543A5"/>
    <w:rsid w:val="00054510"/>
    <w:rsid w:val="000554F7"/>
    <w:rsid w:val="00055A7E"/>
    <w:rsid w:val="00055CC9"/>
    <w:rsid w:val="000564BE"/>
    <w:rsid w:val="00056C51"/>
    <w:rsid w:val="00057BBD"/>
    <w:rsid w:val="000615CF"/>
    <w:rsid w:val="0006193F"/>
    <w:rsid w:val="00062E50"/>
    <w:rsid w:val="000633D4"/>
    <w:rsid w:val="00065C5E"/>
    <w:rsid w:val="00066ADB"/>
    <w:rsid w:val="000671FD"/>
    <w:rsid w:val="000678A2"/>
    <w:rsid w:val="00067F5F"/>
    <w:rsid w:val="0007128E"/>
    <w:rsid w:val="000713BD"/>
    <w:rsid w:val="00072542"/>
    <w:rsid w:val="00072667"/>
    <w:rsid w:val="00072D69"/>
    <w:rsid w:val="00074AF4"/>
    <w:rsid w:val="00075CB2"/>
    <w:rsid w:val="000772EF"/>
    <w:rsid w:val="00077EA5"/>
    <w:rsid w:val="00077EEA"/>
    <w:rsid w:val="000800A7"/>
    <w:rsid w:val="000813B8"/>
    <w:rsid w:val="00081473"/>
    <w:rsid w:val="00081565"/>
    <w:rsid w:val="00081D58"/>
    <w:rsid w:val="00082999"/>
    <w:rsid w:val="000838FB"/>
    <w:rsid w:val="00084042"/>
    <w:rsid w:val="00084F5E"/>
    <w:rsid w:val="00085C15"/>
    <w:rsid w:val="00085CB6"/>
    <w:rsid w:val="0008614A"/>
    <w:rsid w:val="00087A05"/>
    <w:rsid w:val="00087CBF"/>
    <w:rsid w:val="00091602"/>
    <w:rsid w:val="00091918"/>
    <w:rsid w:val="000921AF"/>
    <w:rsid w:val="000924A5"/>
    <w:rsid w:val="000927AE"/>
    <w:rsid w:val="00092B01"/>
    <w:rsid w:val="00092B30"/>
    <w:rsid w:val="0009330E"/>
    <w:rsid w:val="00095C7E"/>
    <w:rsid w:val="000970E8"/>
    <w:rsid w:val="00097255"/>
    <w:rsid w:val="0009746D"/>
    <w:rsid w:val="0009758C"/>
    <w:rsid w:val="00097675"/>
    <w:rsid w:val="000A127E"/>
    <w:rsid w:val="000A19CC"/>
    <w:rsid w:val="000A2018"/>
    <w:rsid w:val="000A276A"/>
    <w:rsid w:val="000A43AF"/>
    <w:rsid w:val="000A454C"/>
    <w:rsid w:val="000A63BD"/>
    <w:rsid w:val="000A65DB"/>
    <w:rsid w:val="000A667D"/>
    <w:rsid w:val="000A7D3F"/>
    <w:rsid w:val="000B0141"/>
    <w:rsid w:val="000B1AD7"/>
    <w:rsid w:val="000B24CE"/>
    <w:rsid w:val="000B2562"/>
    <w:rsid w:val="000B331A"/>
    <w:rsid w:val="000B40D0"/>
    <w:rsid w:val="000B5C79"/>
    <w:rsid w:val="000B5CCA"/>
    <w:rsid w:val="000B637C"/>
    <w:rsid w:val="000B6713"/>
    <w:rsid w:val="000B6AA6"/>
    <w:rsid w:val="000B7DA8"/>
    <w:rsid w:val="000C16C4"/>
    <w:rsid w:val="000C176F"/>
    <w:rsid w:val="000C1938"/>
    <w:rsid w:val="000C3546"/>
    <w:rsid w:val="000C3F8B"/>
    <w:rsid w:val="000C44FC"/>
    <w:rsid w:val="000C4685"/>
    <w:rsid w:val="000C4BBA"/>
    <w:rsid w:val="000C4C92"/>
    <w:rsid w:val="000C52F6"/>
    <w:rsid w:val="000C5753"/>
    <w:rsid w:val="000C5D02"/>
    <w:rsid w:val="000C6063"/>
    <w:rsid w:val="000C632F"/>
    <w:rsid w:val="000C6B15"/>
    <w:rsid w:val="000C6D14"/>
    <w:rsid w:val="000D11A1"/>
    <w:rsid w:val="000D1288"/>
    <w:rsid w:val="000D1C28"/>
    <w:rsid w:val="000D203E"/>
    <w:rsid w:val="000D235B"/>
    <w:rsid w:val="000D2E10"/>
    <w:rsid w:val="000D380E"/>
    <w:rsid w:val="000D49FD"/>
    <w:rsid w:val="000D6EBE"/>
    <w:rsid w:val="000D794F"/>
    <w:rsid w:val="000E031B"/>
    <w:rsid w:val="000E033A"/>
    <w:rsid w:val="000E04F5"/>
    <w:rsid w:val="000E064F"/>
    <w:rsid w:val="000E2759"/>
    <w:rsid w:val="000E2CE8"/>
    <w:rsid w:val="000E2D8D"/>
    <w:rsid w:val="000E3912"/>
    <w:rsid w:val="000E448D"/>
    <w:rsid w:val="000E54EE"/>
    <w:rsid w:val="000E5589"/>
    <w:rsid w:val="000E5F9D"/>
    <w:rsid w:val="000E6D69"/>
    <w:rsid w:val="000E78E2"/>
    <w:rsid w:val="000F1067"/>
    <w:rsid w:val="000F13F6"/>
    <w:rsid w:val="000F16CA"/>
    <w:rsid w:val="000F254C"/>
    <w:rsid w:val="000F259A"/>
    <w:rsid w:val="000F27F5"/>
    <w:rsid w:val="000F32F7"/>
    <w:rsid w:val="000F361A"/>
    <w:rsid w:val="000F48C1"/>
    <w:rsid w:val="000F5229"/>
    <w:rsid w:val="000F5FEA"/>
    <w:rsid w:val="000F768C"/>
    <w:rsid w:val="00100088"/>
    <w:rsid w:val="001001CA"/>
    <w:rsid w:val="001011B3"/>
    <w:rsid w:val="001011DD"/>
    <w:rsid w:val="00101731"/>
    <w:rsid w:val="00101C71"/>
    <w:rsid w:val="001021A2"/>
    <w:rsid w:val="00103260"/>
    <w:rsid w:val="00104B66"/>
    <w:rsid w:val="00104D28"/>
    <w:rsid w:val="00105252"/>
    <w:rsid w:val="001052D3"/>
    <w:rsid w:val="00105705"/>
    <w:rsid w:val="00106580"/>
    <w:rsid w:val="00106C36"/>
    <w:rsid w:val="00106FAA"/>
    <w:rsid w:val="00107075"/>
    <w:rsid w:val="00110AC0"/>
    <w:rsid w:val="001122F4"/>
    <w:rsid w:val="00112526"/>
    <w:rsid w:val="00112961"/>
    <w:rsid w:val="00112CF7"/>
    <w:rsid w:val="00112D3B"/>
    <w:rsid w:val="00112D9B"/>
    <w:rsid w:val="00113071"/>
    <w:rsid w:val="00113963"/>
    <w:rsid w:val="001141BE"/>
    <w:rsid w:val="0011467C"/>
    <w:rsid w:val="001151C3"/>
    <w:rsid w:val="00117489"/>
    <w:rsid w:val="00121733"/>
    <w:rsid w:val="001219C0"/>
    <w:rsid w:val="001221D3"/>
    <w:rsid w:val="00122267"/>
    <w:rsid w:val="00122F13"/>
    <w:rsid w:val="001247A9"/>
    <w:rsid w:val="00124B3D"/>
    <w:rsid w:val="0012689B"/>
    <w:rsid w:val="00126D6A"/>
    <w:rsid w:val="00126E4B"/>
    <w:rsid w:val="00126E7C"/>
    <w:rsid w:val="0012725B"/>
    <w:rsid w:val="00127DE8"/>
    <w:rsid w:val="00130028"/>
    <w:rsid w:val="001301E7"/>
    <w:rsid w:val="001308D1"/>
    <w:rsid w:val="00131205"/>
    <w:rsid w:val="00131371"/>
    <w:rsid w:val="001321A7"/>
    <w:rsid w:val="00132E44"/>
    <w:rsid w:val="001343C8"/>
    <w:rsid w:val="001346FC"/>
    <w:rsid w:val="001347E1"/>
    <w:rsid w:val="0013532C"/>
    <w:rsid w:val="001370AA"/>
    <w:rsid w:val="00137548"/>
    <w:rsid w:val="001375EE"/>
    <w:rsid w:val="001377FF"/>
    <w:rsid w:val="00137D51"/>
    <w:rsid w:val="001401A9"/>
    <w:rsid w:val="00140566"/>
    <w:rsid w:val="00141382"/>
    <w:rsid w:val="00141A23"/>
    <w:rsid w:val="0014338F"/>
    <w:rsid w:val="0014439B"/>
    <w:rsid w:val="001447BF"/>
    <w:rsid w:val="00144CE1"/>
    <w:rsid w:val="001456F3"/>
    <w:rsid w:val="001466C5"/>
    <w:rsid w:val="0014679D"/>
    <w:rsid w:val="00146D3D"/>
    <w:rsid w:val="00147152"/>
    <w:rsid w:val="001473E3"/>
    <w:rsid w:val="001474C2"/>
    <w:rsid w:val="00147670"/>
    <w:rsid w:val="001479EE"/>
    <w:rsid w:val="00150596"/>
    <w:rsid w:val="00151884"/>
    <w:rsid w:val="00151A1C"/>
    <w:rsid w:val="00151A47"/>
    <w:rsid w:val="001520CB"/>
    <w:rsid w:val="00152AC5"/>
    <w:rsid w:val="001530BE"/>
    <w:rsid w:val="00154CD4"/>
    <w:rsid w:val="00156240"/>
    <w:rsid w:val="001562BC"/>
    <w:rsid w:val="0015736E"/>
    <w:rsid w:val="00160349"/>
    <w:rsid w:val="00161C76"/>
    <w:rsid w:val="0016254C"/>
    <w:rsid w:val="0016333F"/>
    <w:rsid w:val="00163759"/>
    <w:rsid w:val="00164EE7"/>
    <w:rsid w:val="001652A2"/>
    <w:rsid w:val="0016621C"/>
    <w:rsid w:val="0017003D"/>
    <w:rsid w:val="00170F7C"/>
    <w:rsid w:val="00171E6B"/>
    <w:rsid w:val="001721DD"/>
    <w:rsid w:val="0017280F"/>
    <w:rsid w:val="00172ADE"/>
    <w:rsid w:val="00174F89"/>
    <w:rsid w:val="001750E5"/>
    <w:rsid w:val="00175630"/>
    <w:rsid w:val="0017646B"/>
    <w:rsid w:val="0017703F"/>
    <w:rsid w:val="00177D37"/>
    <w:rsid w:val="00180594"/>
    <w:rsid w:val="00181869"/>
    <w:rsid w:val="0018287C"/>
    <w:rsid w:val="0018373F"/>
    <w:rsid w:val="00183781"/>
    <w:rsid w:val="001837DB"/>
    <w:rsid w:val="00183D3C"/>
    <w:rsid w:val="0018519C"/>
    <w:rsid w:val="001862ED"/>
    <w:rsid w:val="00186C1E"/>
    <w:rsid w:val="001878BF"/>
    <w:rsid w:val="001908ED"/>
    <w:rsid w:val="00190D29"/>
    <w:rsid w:val="00191DFA"/>
    <w:rsid w:val="00192325"/>
    <w:rsid w:val="00193027"/>
    <w:rsid w:val="00193D52"/>
    <w:rsid w:val="001941B5"/>
    <w:rsid w:val="001953DC"/>
    <w:rsid w:val="0019556C"/>
    <w:rsid w:val="001961A0"/>
    <w:rsid w:val="0019659E"/>
    <w:rsid w:val="001970BC"/>
    <w:rsid w:val="0019789C"/>
    <w:rsid w:val="001A0DE1"/>
    <w:rsid w:val="001A1250"/>
    <w:rsid w:val="001A1BE2"/>
    <w:rsid w:val="001A22EF"/>
    <w:rsid w:val="001A2975"/>
    <w:rsid w:val="001A3B2C"/>
    <w:rsid w:val="001A50EB"/>
    <w:rsid w:val="001A5D9F"/>
    <w:rsid w:val="001A7253"/>
    <w:rsid w:val="001A7F72"/>
    <w:rsid w:val="001B07B6"/>
    <w:rsid w:val="001B154A"/>
    <w:rsid w:val="001B1E6F"/>
    <w:rsid w:val="001B21B7"/>
    <w:rsid w:val="001B25AE"/>
    <w:rsid w:val="001B304A"/>
    <w:rsid w:val="001B32C2"/>
    <w:rsid w:val="001B3564"/>
    <w:rsid w:val="001B35A9"/>
    <w:rsid w:val="001B4421"/>
    <w:rsid w:val="001B5388"/>
    <w:rsid w:val="001B5C1E"/>
    <w:rsid w:val="001B6AA0"/>
    <w:rsid w:val="001B6BFE"/>
    <w:rsid w:val="001B6F9B"/>
    <w:rsid w:val="001B71F1"/>
    <w:rsid w:val="001B7C23"/>
    <w:rsid w:val="001B7CDA"/>
    <w:rsid w:val="001C29BA"/>
    <w:rsid w:val="001C2DFE"/>
    <w:rsid w:val="001C3BD4"/>
    <w:rsid w:val="001C4173"/>
    <w:rsid w:val="001C4C5E"/>
    <w:rsid w:val="001C50A7"/>
    <w:rsid w:val="001C519E"/>
    <w:rsid w:val="001C5418"/>
    <w:rsid w:val="001C5665"/>
    <w:rsid w:val="001C566B"/>
    <w:rsid w:val="001C6365"/>
    <w:rsid w:val="001C7A65"/>
    <w:rsid w:val="001D284E"/>
    <w:rsid w:val="001D2AF5"/>
    <w:rsid w:val="001D44F1"/>
    <w:rsid w:val="001D49B4"/>
    <w:rsid w:val="001D513A"/>
    <w:rsid w:val="001D53D5"/>
    <w:rsid w:val="001D54B3"/>
    <w:rsid w:val="001D6707"/>
    <w:rsid w:val="001E0251"/>
    <w:rsid w:val="001E0CC7"/>
    <w:rsid w:val="001E1221"/>
    <w:rsid w:val="001E1ABC"/>
    <w:rsid w:val="001E2EC4"/>
    <w:rsid w:val="001E3536"/>
    <w:rsid w:val="001E3D54"/>
    <w:rsid w:val="001E4A52"/>
    <w:rsid w:val="001E5534"/>
    <w:rsid w:val="001E5886"/>
    <w:rsid w:val="001E62EC"/>
    <w:rsid w:val="001E6834"/>
    <w:rsid w:val="001E6F2C"/>
    <w:rsid w:val="001E6FBE"/>
    <w:rsid w:val="001E7103"/>
    <w:rsid w:val="001E7121"/>
    <w:rsid w:val="001F0930"/>
    <w:rsid w:val="001F09A6"/>
    <w:rsid w:val="001F0EBA"/>
    <w:rsid w:val="001F1567"/>
    <w:rsid w:val="001F20DD"/>
    <w:rsid w:val="001F2CAE"/>
    <w:rsid w:val="001F3555"/>
    <w:rsid w:val="001F45E3"/>
    <w:rsid w:val="001F5C93"/>
    <w:rsid w:val="001F6072"/>
    <w:rsid w:val="001F6EEE"/>
    <w:rsid w:val="001F784B"/>
    <w:rsid w:val="001F7992"/>
    <w:rsid w:val="001F7E21"/>
    <w:rsid w:val="001F7F2C"/>
    <w:rsid w:val="002005B2"/>
    <w:rsid w:val="00201546"/>
    <w:rsid w:val="00201748"/>
    <w:rsid w:val="00201B26"/>
    <w:rsid w:val="00202929"/>
    <w:rsid w:val="00202A01"/>
    <w:rsid w:val="00202D5F"/>
    <w:rsid w:val="002034C3"/>
    <w:rsid w:val="002043FD"/>
    <w:rsid w:val="002049FD"/>
    <w:rsid w:val="00204BC0"/>
    <w:rsid w:val="00204DA1"/>
    <w:rsid w:val="00205103"/>
    <w:rsid w:val="0020563B"/>
    <w:rsid w:val="00205BD6"/>
    <w:rsid w:val="00206D5C"/>
    <w:rsid w:val="00212F3E"/>
    <w:rsid w:val="0021388A"/>
    <w:rsid w:val="0021416D"/>
    <w:rsid w:val="00214EB0"/>
    <w:rsid w:val="0021508D"/>
    <w:rsid w:val="00215FDE"/>
    <w:rsid w:val="002170B0"/>
    <w:rsid w:val="00217646"/>
    <w:rsid w:val="0022064F"/>
    <w:rsid w:val="0022082A"/>
    <w:rsid w:val="00221052"/>
    <w:rsid w:val="00222520"/>
    <w:rsid w:val="00222B89"/>
    <w:rsid w:val="00222C90"/>
    <w:rsid w:val="00222EA1"/>
    <w:rsid w:val="002236E0"/>
    <w:rsid w:val="002246B9"/>
    <w:rsid w:val="00224B15"/>
    <w:rsid w:val="002254AE"/>
    <w:rsid w:val="00225AE5"/>
    <w:rsid w:val="00225B85"/>
    <w:rsid w:val="002260B3"/>
    <w:rsid w:val="0022635B"/>
    <w:rsid w:val="002267AD"/>
    <w:rsid w:val="002313F5"/>
    <w:rsid w:val="0023293E"/>
    <w:rsid w:val="00232B60"/>
    <w:rsid w:val="00233614"/>
    <w:rsid w:val="00233B09"/>
    <w:rsid w:val="00233CF7"/>
    <w:rsid w:val="00233DD1"/>
    <w:rsid w:val="00234315"/>
    <w:rsid w:val="00235EAA"/>
    <w:rsid w:val="00240815"/>
    <w:rsid w:val="0024094D"/>
    <w:rsid w:val="00240ABB"/>
    <w:rsid w:val="0024174B"/>
    <w:rsid w:val="00242ED4"/>
    <w:rsid w:val="002436CF"/>
    <w:rsid w:val="00243C9F"/>
    <w:rsid w:val="00243F20"/>
    <w:rsid w:val="00243F2D"/>
    <w:rsid w:val="00244808"/>
    <w:rsid w:val="00244A6E"/>
    <w:rsid w:val="00245C4A"/>
    <w:rsid w:val="00245F09"/>
    <w:rsid w:val="00246E07"/>
    <w:rsid w:val="0025069D"/>
    <w:rsid w:val="00250984"/>
    <w:rsid w:val="00250B0C"/>
    <w:rsid w:val="00252031"/>
    <w:rsid w:val="00252A00"/>
    <w:rsid w:val="00253292"/>
    <w:rsid w:val="0025430F"/>
    <w:rsid w:val="00254AC1"/>
    <w:rsid w:val="002554E6"/>
    <w:rsid w:val="0025592B"/>
    <w:rsid w:val="002562CA"/>
    <w:rsid w:val="00256D37"/>
    <w:rsid w:val="002603C4"/>
    <w:rsid w:val="00261074"/>
    <w:rsid w:val="002619AD"/>
    <w:rsid w:val="00261B48"/>
    <w:rsid w:val="00262361"/>
    <w:rsid w:val="00262920"/>
    <w:rsid w:val="00262C4E"/>
    <w:rsid w:val="00263577"/>
    <w:rsid w:val="00263EB5"/>
    <w:rsid w:val="00264220"/>
    <w:rsid w:val="002642BC"/>
    <w:rsid w:val="002642FC"/>
    <w:rsid w:val="002650F0"/>
    <w:rsid w:val="00265A63"/>
    <w:rsid w:val="00265BF2"/>
    <w:rsid w:val="00265D75"/>
    <w:rsid w:val="00265F34"/>
    <w:rsid w:val="0026695A"/>
    <w:rsid w:val="00267D61"/>
    <w:rsid w:val="00270580"/>
    <w:rsid w:val="002723B0"/>
    <w:rsid w:val="0027246F"/>
    <w:rsid w:val="00272A5E"/>
    <w:rsid w:val="002743B7"/>
    <w:rsid w:val="00274557"/>
    <w:rsid w:val="00274ECA"/>
    <w:rsid w:val="002753D7"/>
    <w:rsid w:val="00275580"/>
    <w:rsid w:val="00277A96"/>
    <w:rsid w:val="00277C07"/>
    <w:rsid w:val="002802B6"/>
    <w:rsid w:val="00280313"/>
    <w:rsid w:val="00280743"/>
    <w:rsid w:val="002809EC"/>
    <w:rsid w:val="002814A3"/>
    <w:rsid w:val="0028169C"/>
    <w:rsid w:val="0028233A"/>
    <w:rsid w:val="002831F4"/>
    <w:rsid w:val="00283806"/>
    <w:rsid w:val="00283CE5"/>
    <w:rsid w:val="00284AE7"/>
    <w:rsid w:val="00285728"/>
    <w:rsid w:val="00286320"/>
    <w:rsid w:val="002867B2"/>
    <w:rsid w:val="00287085"/>
    <w:rsid w:val="00287245"/>
    <w:rsid w:val="002872BF"/>
    <w:rsid w:val="002876EC"/>
    <w:rsid w:val="00290782"/>
    <w:rsid w:val="00290D46"/>
    <w:rsid w:val="00290F33"/>
    <w:rsid w:val="00291AED"/>
    <w:rsid w:val="00291CA6"/>
    <w:rsid w:val="002949F6"/>
    <w:rsid w:val="002950CB"/>
    <w:rsid w:val="00295AE6"/>
    <w:rsid w:val="00295C2E"/>
    <w:rsid w:val="002963DD"/>
    <w:rsid w:val="00297C3B"/>
    <w:rsid w:val="002A0808"/>
    <w:rsid w:val="002A1A4C"/>
    <w:rsid w:val="002A26EA"/>
    <w:rsid w:val="002A2869"/>
    <w:rsid w:val="002A3096"/>
    <w:rsid w:val="002A34F9"/>
    <w:rsid w:val="002A35B5"/>
    <w:rsid w:val="002A3730"/>
    <w:rsid w:val="002A3AC5"/>
    <w:rsid w:val="002A3D46"/>
    <w:rsid w:val="002A3FBC"/>
    <w:rsid w:val="002A4DC0"/>
    <w:rsid w:val="002A5847"/>
    <w:rsid w:val="002A5F7D"/>
    <w:rsid w:val="002A73BC"/>
    <w:rsid w:val="002B0AB1"/>
    <w:rsid w:val="002B0E69"/>
    <w:rsid w:val="002B177E"/>
    <w:rsid w:val="002B20A6"/>
    <w:rsid w:val="002B2186"/>
    <w:rsid w:val="002B2C1A"/>
    <w:rsid w:val="002B32BD"/>
    <w:rsid w:val="002B71E7"/>
    <w:rsid w:val="002B7B15"/>
    <w:rsid w:val="002C0281"/>
    <w:rsid w:val="002C0689"/>
    <w:rsid w:val="002C0B3B"/>
    <w:rsid w:val="002C0B51"/>
    <w:rsid w:val="002C2003"/>
    <w:rsid w:val="002C2B0E"/>
    <w:rsid w:val="002C3718"/>
    <w:rsid w:val="002C3A3B"/>
    <w:rsid w:val="002C4164"/>
    <w:rsid w:val="002C4DFB"/>
    <w:rsid w:val="002C5935"/>
    <w:rsid w:val="002C5B32"/>
    <w:rsid w:val="002C5DA7"/>
    <w:rsid w:val="002C62F7"/>
    <w:rsid w:val="002C6777"/>
    <w:rsid w:val="002C680E"/>
    <w:rsid w:val="002C6A90"/>
    <w:rsid w:val="002C6E22"/>
    <w:rsid w:val="002C782B"/>
    <w:rsid w:val="002C7FCD"/>
    <w:rsid w:val="002D0065"/>
    <w:rsid w:val="002D05F4"/>
    <w:rsid w:val="002D0A32"/>
    <w:rsid w:val="002D3217"/>
    <w:rsid w:val="002D4551"/>
    <w:rsid w:val="002D539A"/>
    <w:rsid w:val="002D6413"/>
    <w:rsid w:val="002E054A"/>
    <w:rsid w:val="002E19A6"/>
    <w:rsid w:val="002E1C6F"/>
    <w:rsid w:val="002E2214"/>
    <w:rsid w:val="002E3EA9"/>
    <w:rsid w:val="002E55BF"/>
    <w:rsid w:val="002E617A"/>
    <w:rsid w:val="002E631B"/>
    <w:rsid w:val="002F0864"/>
    <w:rsid w:val="002F0997"/>
    <w:rsid w:val="002F1130"/>
    <w:rsid w:val="002F1684"/>
    <w:rsid w:val="002F20D1"/>
    <w:rsid w:val="002F243E"/>
    <w:rsid w:val="002F2500"/>
    <w:rsid w:val="002F31AA"/>
    <w:rsid w:val="002F3FD4"/>
    <w:rsid w:val="002F40B6"/>
    <w:rsid w:val="002F46FA"/>
    <w:rsid w:val="002F6682"/>
    <w:rsid w:val="002F6F21"/>
    <w:rsid w:val="002F703D"/>
    <w:rsid w:val="002F7EA2"/>
    <w:rsid w:val="00300C07"/>
    <w:rsid w:val="00300D0A"/>
    <w:rsid w:val="00300FA7"/>
    <w:rsid w:val="00301B07"/>
    <w:rsid w:val="00301F17"/>
    <w:rsid w:val="0030332F"/>
    <w:rsid w:val="003046EA"/>
    <w:rsid w:val="00304CB3"/>
    <w:rsid w:val="00304E7E"/>
    <w:rsid w:val="003059E2"/>
    <w:rsid w:val="00306693"/>
    <w:rsid w:val="00306808"/>
    <w:rsid w:val="003071D7"/>
    <w:rsid w:val="00307F0D"/>
    <w:rsid w:val="00307FDF"/>
    <w:rsid w:val="003100DA"/>
    <w:rsid w:val="00311C3D"/>
    <w:rsid w:val="00311D3F"/>
    <w:rsid w:val="0031273A"/>
    <w:rsid w:val="003128C5"/>
    <w:rsid w:val="003132ED"/>
    <w:rsid w:val="00313C66"/>
    <w:rsid w:val="00314604"/>
    <w:rsid w:val="0031582C"/>
    <w:rsid w:val="00315DFB"/>
    <w:rsid w:val="003168AB"/>
    <w:rsid w:val="003168C0"/>
    <w:rsid w:val="003172A7"/>
    <w:rsid w:val="003172F0"/>
    <w:rsid w:val="00317BF3"/>
    <w:rsid w:val="00317C4E"/>
    <w:rsid w:val="00320759"/>
    <w:rsid w:val="00321C96"/>
    <w:rsid w:val="00321CC7"/>
    <w:rsid w:val="00322C25"/>
    <w:rsid w:val="0032371F"/>
    <w:rsid w:val="00324194"/>
    <w:rsid w:val="00324D7F"/>
    <w:rsid w:val="0032505C"/>
    <w:rsid w:val="003255BF"/>
    <w:rsid w:val="00327E5A"/>
    <w:rsid w:val="00330E3F"/>
    <w:rsid w:val="003315D9"/>
    <w:rsid w:val="00332770"/>
    <w:rsid w:val="00332CB5"/>
    <w:rsid w:val="00333C42"/>
    <w:rsid w:val="0033525B"/>
    <w:rsid w:val="00336454"/>
    <w:rsid w:val="00336546"/>
    <w:rsid w:val="00336BE7"/>
    <w:rsid w:val="003373F8"/>
    <w:rsid w:val="003374D7"/>
    <w:rsid w:val="003379F2"/>
    <w:rsid w:val="003409FC"/>
    <w:rsid w:val="00340BA2"/>
    <w:rsid w:val="00341501"/>
    <w:rsid w:val="00341643"/>
    <w:rsid w:val="003417ED"/>
    <w:rsid w:val="0034188B"/>
    <w:rsid w:val="00342743"/>
    <w:rsid w:val="00342DC6"/>
    <w:rsid w:val="003431FE"/>
    <w:rsid w:val="00343A4A"/>
    <w:rsid w:val="00344676"/>
    <w:rsid w:val="003446EB"/>
    <w:rsid w:val="00345065"/>
    <w:rsid w:val="00345AF7"/>
    <w:rsid w:val="0034722B"/>
    <w:rsid w:val="003479CB"/>
    <w:rsid w:val="0035085C"/>
    <w:rsid w:val="00350B3E"/>
    <w:rsid w:val="00351418"/>
    <w:rsid w:val="00351AF5"/>
    <w:rsid w:val="0035239D"/>
    <w:rsid w:val="003529DB"/>
    <w:rsid w:val="003530B1"/>
    <w:rsid w:val="00353FF1"/>
    <w:rsid w:val="0035401A"/>
    <w:rsid w:val="003541E8"/>
    <w:rsid w:val="00354F1F"/>
    <w:rsid w:val="00355512"/>
    <w:rsid w:val="003562C5"/>
    <w:rsid w:val="0035673E"/>
    <w:rsid w:val="003569F0"/>
    <w:rsid w:val="00356D4C"/>
    <w:rsid w:val="003574B7"/>
    <w:rsid w:val="003577E1"/>
    <w:rsid w:val="0035786F"/>
    <w:rsid w:val="0035795A"/>
    <w:rsid w:val="00357CD6"/>
    <w:rsid w:val="00360621"/>
    <w:rsid w:val="00360F62"/>
    <w:rsid w:val="00362F84"/>
    <w:rsid w:val="003630C1"/>
    <w:rsid w:val="00363B5B"/>
    <w:rsid w:val="00363F4E"/>
    <w:rsid w:val="00364289"/>
    <w:rsid w:val="00364CE1"/>
    <w:rsid w:val="00364D95"/>
    <w:rsid w:val="00365579"/>
    <w:rsid w:val="00365795"/>
    <w:rsid w:val="003657EA"/>
    <w:rsid w:val="00365D41"/>
    <w:rsid w:val="00366945"/>
    <w:rsid w:val="003672AB"/>
    <w:rsid w:val="00370477"/>
    <w:rsid w:val="003709F8"/>
    <w:rsid w:val="003716CB"/>
    <w:rsid w:val="0037171D"/>
    <w:rsid w:val="00372E55"/>
    <w:rsid w:val="00373172"/>
    <w:rsid w:val="003734B7"/>
    <w:rsid w:val="00375424"/>
    <w:rsid w:val="0037545E"/>
    <w:rsid w:val="003760F6"/>
    <w:rsid w:val="00376AF3"/>
    <w:rsid w:val="00376F65"/>
    <w:rsid w:val="00377114"/>
    <w:rsid w:val="00377815"/>
    <w:rsid w:val="00377B6A"/>
    <w:rsid w:val="003801BE"/>
    <w:rsid w:val="00380DA8"/>
    <w:rsid w:val="00381901"/>
    <w:rsid w:val="00381EA8"/>
    <w:rsid w:val="0038243E"/>
    <w:rsid w:val="00382966"/>
    <w:rsid w:val="003844B5"/>
    <w:rsid w:val="0038496C"/>
    <w:rsid w:val="00384985"/>
    <w:rsid w:val="00384FEF"/>
    <w:rsid w:val="00385256"/>
    <w:rsid w:val="00385A79"/>
    <w:rsid w:val="00385DCE"/>
    <w:rsid w:val="0038721A"/>
    <w:rsid w:val="00387384"/>
    <w:rsid w:val="003874A0"/>
    <w:rsid w:val="003876C6"/>
    <w:rsid w:val="00390B27"/>
    <w:rsid w:val="00390B54"/>
    <w:rsid w:val="00390FC3"/>
    <w:rsid w:val="0039291D"/>
    <w:rsid w:val="00393F18"/>
    <w:rsid w:val="00393F82"/>
    <w:rsid w:val="00394262"/>
    <w:rsid w:val="00394E12"/>
    <w:rsid w:val="00395080"/>
    <w:rsid w:val="0039579A"/>
    <w:rsid w:val="00395876"/>
    <w:rsid w:val="00397851"/>
    <w:rsid w:val="00397C9E"/>
    <w:rsid w:val="003A0021"/>
    <w:rsid w:val="003A00EC"/>
    <w:rsid w:val="003A11BA"/>
    <w:rsid w:val="003A2C6F"/>
    <w:rsid w:val="003A30E3"/>
    <w:rsid w:val="003A34A4"/>
    <w:rsid w:val="003A350D"/>
    <w:rsid w:val="003A3F5C"/>
    <w:rsid w:val="003A41BE"/>
    <w:rsid w:val="003A43DB"/>
    <w:rsid w:val="003A47CE"/>
    <w:rsid w:val="003A499E"/>
    <w:rsid w:val="003A5256"/>
    <w:rsid w:val="003A61AE"/>
    <w:rsid w:val="003A706A"/>
    <w:rsid w:val="003A747E"/>
    <w:rsid w:val="003A74DB"/>
    <w:rsid w:val="003B0BF1"/>
    <w:rsid w:val="003B19BB"/>
    <w:rsid w:val="003B25A2"/>
    <w:rsid w:val="003B2EDD"/>
    <w:rsid w:val="003B302F"/>
    <w:rsid w:val="003B3907"/>
    <w:rsid w:val="003B4918"/>
    <w:rsid w:val="003B49F1"/>
    <w:rsid w:val="003B5219"/>
    <w:rsid w:val="003B6E1B"/>
    <w:rsid w:val="003B7071"/>
    <w:rsid w:val="003B78C6"/>
    <w:rsid w:val="003C007C"/>
    <w:rsid w:val="003C06B1"/>
    <w:rsid w:val="003C078B"/>
    <w:rsid w:val="003C2095"/>
    <w:rsid w:val="003C237E"/>
    <w:rsid w:val="003C2775"/>
    <w:rsid w:val="003C2F40"/>
    <w:rsid w:val="003C3237"/>
    <w:rsid w:val="003C3428"/>
    <w:rsid w:val="003C3498"/>
    <w:rsid w:val="003C37E3"/>
    <w:rsid w:val="003C39AF"/>
    <w:rsid w:val="003C3AA5"/>
    <w:rsid w:val="003C3BB9"/>
    <w:rsid w:val="003C408E"/>
    <w:rsid w:val="003C4B2D"/>
    <w:rsid w:val="003C629F"/>
    <w:rsid w:val="003C6D39"/>
    <w:rsid w:val="003C7BDA"/>
    <w:rsid w:val="003C7EEC"/>
    <w:rsid w:val="003D1A6E"/>
    <w:rsid w:val="003D23F2"/>
    <w:rsid w:val="003D248C"/>
    <w:rsid w:val="003D27A6"/>
    <w:rsid w:val="003D2FEA"/>
    <w:rsid w:val="003D4233"/>
    <w:rsid w:val="003D44EF"/>
    <w:rsid w:val="003D46C3"/>
    <w:rsid w:val="003D4C25"/>
    <w:rsid w:val="003D5C28"/>
    <w:rsid w:val="003D62DF"/>
    <w:rsid w:val="003D684B"/>
    <w:rsid w:val="003D6A40"/>
    <w:rsid w:val="003D7744"/>
    <w:rsid w:val="003E0174"/>
    <w:rsid w:val="003E0BB5"/>
    <w:rsid w:val="003E0E9A"/>
    <w:rsid w:val="003E1D15"/>
    <w:rsid w:val="003E2D42"/>
    <w:rsid w:val="003E2F73"/>
    <w:rsid w:val="003E4B1B"/>
    <w:rsid w:val="003E52C3"/>
    <w:rsid w:val="003E5C53"/>
    <w:rsid w:val="003E5F66"/>
    <w:rsid w:val="003E6097"/>
    <w:rsid w:val="003F1143"/>
    <w:rsid w:val="003F1773"/>
    <w:rsid w:val="003F1E58"/>
    <w:rsid w:val="003F3400"/>
    <w:rsid w:val="003F61B9"/>
    <w:rsid w:val="003F66E5"/>
    <w:rsid w:val="003F690D"/>
    <w:rsid w:val="003F7035"/>
    <w:rsid w:val="003F70CE"/>
    <w:rsid w:val="003F7323"/>
    <w:rsid w:val="003F7E70"/>
    <w:rsid w:val="004017FE"/>
    <w:rsid w:val="00401B31"/>
    <w:rsid w:val="00402E21"/>
    <w:rsid w:val="00403288"/>
    <w:rsid w:val="00403667"/>
    <w:rsid w:val="00404CDE"/>
    <w:rsid w:val="00405278"/>
    <w:rsid w:val="004052B2"/>
    <w:rsid w:val="0040556E"/>
    <w:rsid w:val="00406567"/>
    <w:rsid w:val="00406DD0"/>
    <w:rsid w:val="00407698"/>
    <w:rsid w:val="00410D19"/>
    <w:rsid w:val="00411150"/>
    <w:rsid w:val="004113E5"/>
    <w:rsid w:val="0041231B"/>
    <w:rsid w:val="00412E29"/>
    <w:rsid w:val="004131A7"/>
    <w:rsid w:val="0041737B"/>
    <w:rsid w:val="0042030C"/>
    <w:rsid w:val="004209ED"/>
    <w:rsid w:val="00420ABB"/>
    <w:rsid w:val="0042128D"/>
    <w:rsid w:val="00421772"/>
    <w:rsid w:val="004221B8"/>
    <w:rsid w:val="00422711"/>
    <w:rsid w:val="00422A7D"/>
    <w:rsid w:val="00423DD3"/>
    <w:rsid w:val="00424AEE"/>
    <w:rsid w:val="00424DF0"/>
    <w:rsid w:val="004253F7"/>
    <w:rsid w:val="0042552B"/>
    <w:rsid w:val="00425BBD"/>
    <w:rsid w:val="00425F24"/>
    <w:rsid w:val="0042798A"/>
    <w:rsid w:val="004318EF"/>
    <w:rsid w:val="004318FC"/>
    <w:rsid w:val="00433834"/>
    <w:rsid w:val="004338C7"/>
    <w:rsid w:val="00433ACE"/>
    <w:rsid w:val="00433C7F"/>
    <w:rsid w:val="00433CEC"/>
    <w:rsid w:val="004341AD"/>
    <w:rsid w:val="0043481A"/>
    <w:rsid w:val="00434948"/>
    <w:rsid w:val="0043564A"/>
    <w:rsid w:val="00436D8D"/>
    <w:rsid w:val="00437A90"/>
    <w:rsid w:val="00440648"/>
    <w:rsid w:val="00440D8D"/>
    <w:rsid w:val="004421B0"/>
    <w:rsid w:val="004425C9"/>
    <w:rsid w:val="00442680"/>
    <w:rsid w:val="00442C67"/>
    <w:rsid w:val="00443535"/>
    <w:rsid w:val="004437A1"/>
    <w:rsid w:val="00443852"/>
    <w:rsid w:val="0044387D"/>
    <w:rsid w:val="0044457D"/>
    <w:rsid w:val="0044475D"/>
    <w:rsid w:val="00444FBE"/>
    <w:rsid w:val="004452E0"/>
    <w:rsid w:val="00447BC9"/>
    <w:rsid w:val="00447DC2"/>
    <w:rsid w:val="00447F37"/>
    <w:rsid w:val="00447F7E"/>
    <w:rsid w:val="00450392"/>
    <w:rsid w:val="00450B1B"/>
    <w:rsid w:val="00452E0B"/>
    <w:rsid w:val="004542BD"/>
    <w:rsid w:val="00454587"/>
    <w:rsid w:val="0045513B"/>
    <w:rsid w:val="00455F66"/>
    <w:rsid w:val="0045657E"/>
    <w:rsid w:val="00456E3C"/>
    <w:rsid w:val="00456FCF"/>
    <w:rsid w:val="00457AE1"/>
    <w:rsid w:val="00460D9D"/>
    <w:rsid w:val="00460FF2"/>
    <w:rsid w:val="004617C2"/>
    <w:rsid w:val="00461A86"/>
    <w:rsid w:val="00461F4A"/>
    <w:rsid w:val="00461F81"/>
    <w:rsid w:val="004634A9"/>
    <w:rsid w:val="00463C02"/>
    <w:rsid w:val="0046452E"/>
    <w:rsid w:val="00464628"/>
    <w:rsid w:val="00464C55"/>
    <w:rsid w:val="00465179"/>
    <w:rsid w:val="004658DE"/>
    <w:rsid w:val="00465F55"/>
    <w:rsid w:val="00466CE5"/>
    <w:rsid w:val="00467723"/>
    <w:rsid w:val="00467F85"/>
    <w:rsid w:val="0047010C"/>
    <w:rsid w:val="0047118A"/>
    <w:rsid w:val="00472051"/>
    <w:rsid w:val="00472353"/>
    <w:rsid w:val="00472778"/>
    <w:rsid w:val="00473498"/>
    <w:rsid w:val="004741E8"/>
    <w:rsid w:val="004742D5"/>
    <w:rsid w:val="00474AA4"/>
    <w:rsid w:val="004750AA"/>
    <w:rsid w:val="0047549D"/>
    <w:rsid w:val="00476583"/>
    <w:rsid w:val="00476F1F"/>
    <w:rsid w:val="00477A93"/>
    <w:rsid w:val="00480130"/>
    <w:rsid w:val="004807ED"/>
    <w:rsid w:val="00482708"/>
    <w:rsid w:val="00484C43"/>
    <w:rsid w:val="00485B17"/>
    <w:rsid w:val="00485DFC"/>
    <w:rsid w:val="00486970"/>
    <w:rsid w:val="0048712D"/>
    <w:rsid w:val="00490D3F"/>
    <w:rsid w:val="00490E82"/>
    <w:rsid w:val="00491241"/>
    <w:rsid w:val="004915D8"/>
    <w:rsid w:val="00491A10"/>
    <w:rsid w:val="004921E8"/>
    <w:rsid w:val="00492480"/>
    <w:rsid w:val="00493080"/>
    <w:rsid w:val="00493584"/>
    <w:rsid w:val="004937A5"/>
    <w:rsid w:val="00493B28"/>
    <w:rsid w:val="00493D99"/>
    <w:rsid w:val="00493FF1"/>
    <w:rsid w:val="00494F4F"/>
    <w:rsid w:val="00495A55"/>
    <w:rsid w:val="004963A6"/>
    <w:rsid w:val="004965DC"/>
    <w:rsid w:val="00497345"/>
    <w:rsid w:val="004A120C"/>
    <w:rsid w:val="004A1221"/>
    <w:rsid w:val="004A2B03"/>
    <w:rsid w:val="004A2BF6"/>
    <w:rsid w:val="004A332A"/>
    <w:rsid w:val="004A3AED"/>
    <w:rsid w:val="004A3B4B"/>
    <w:rsid w:val="004A3B61"/>
    <w:rsid w:val="004A5A55"/>
    <w:rsid w:val="004A5B2A"/>
    <w:rsid w:val="004A6E84"/>
    <w:rsid w:val="004A7594"/>
    <w:rsid w:val="004A7DCE"/>
    <w:rsid w:val="004B0282"/>
    <w:rsid w:val="004B0869"/>
    <w:rsid w:val="004B0C0E"/>
    <w:rsid w:val="004B0C5C"/>
    <w:rsid w:val="004B0CA9"/>
    <w:rsid w:val="004B0FFD"/>
    <w:rsid w:val="004B1C79"/>
    <w:rsid w:val="004B21A4"/>
    <w:rsid w:val="004B359B"/>
    <w:rsid w:val="004B6CD0"/>
    <w:rsid w:val="004C0459"/>
    <w:rsid w:val="004C1C2E"/>
    <w:rsid w:val="004C28F2"/>
    <w:rsid w:val="004C2A6D"/>
    <w:rsid w:val="004C3A8A"/>
    <w:rsid w:val="004C3F3B"/>
    <w:rsid w:val="004C4203"/>
    <w:rsid w:val="004C5C57"/>
    <w:rsid w:val="004C6976"/>
    <w:rsid w:val="004C7B92"/>
    <w:rsid w:val="004C7CCD"/>
    <w:rsid w:val="004C7F2E"/>
    <w:rsid w:val="004D007C"/>
    <w:rsid w:val="004D0725"/>
    <w:rsid w:val="004D0805"/>
    <w:rsid w:val="004D0915"/>
    <w:rsid w:val="004D1C5E"/>
    <w:rsid w:val="004D25D4"/>
    <w:rsid w:val="004D4BDD"/>
    <w:rsid w:val="004D54A8"/>
    <w:rsid w:val="004D5AB9"/>
    <w:rsid w:val="004D6E6A"/>
    <w:rsid w:val="004E08BA"/>
    <w:rsid w:val="004E0AF0"/>
    <w:rsid w:val="004E106D"/>
    <w:rsid w:val="004E184C"/>
    <w:rsid w:val="004E38B1"/>
    <w:rsid w:val="004E3D0F"/>
    <w:rsid w:val="004E45EA"/>
    <w:rsid w:val="004E503E"/>
    <w:rsid w:val="004E69BD"/>
    <w:rsid w:val="004E7111"/>
    <w:rsid w:val="004E7205"/>
    <w:rsid w:val="004E75CD"/>
    <w:rsid w:val="004F122B"/>
    <w:rsid w:val="004F1C22"/>
    <w:rsid w:val="004F1FCD"/>
    <w:rsid w:val="004F2655"/>
    <w:rsid w:val="004F275C"/>
    <w:rsid w:val="004F2A91"/>
    <w:rsid w:val="004F2E07"/>
    <w:rsid w:val="004F2EF0"/>
    <w:rsid w:val="004F3548"/>
    <w:rsid w:val="004F3925"/>
    <w:rsid w:val="004F4D0B"/>
    <w:rsid w:val="004F5644"/>
    <w:rsid w:val="004F5939"/>
    <w:rsid w:val="004F5C7A"/>
    <w:rsid w:val="004F7C3B"/>
    <w:rsid w:val="0050006B"/>
    <w:rsid w:val="0050141D"/>
    <w:rsid w:val="00502FE4"/>
    <w:rsid w:val="00503200"/>
    <w:rsid w:val="00504532"/>
    <w:rsid w:val="00504956"/>
    <w:rsid w:val="005054DC"/>
    <w:rsid w:val="0050587C"/>
    <w:rsid w:val="00505A07"/>
    <w:rsid w:val="00505EF7"/>
    <w:rsid w:val="005060FC"/>
    <w:rsid w:val="00507925"/>
    <w:rsid w:val="00507AB0"/>
    <w:rsid w:val="005102D8"/>
    <w:rsid w:val="005121BC"/>
    <w:rsid w:val="00512AC8"/>
    <w:rsid w:val="0051370C"/>
    <w:rsid w:val="00513E85"/>
    <w:rsid w:val="005148FF"/>
    <w:rsid w:val="00514D76"/>
    <w:rsid w:val="00516055"/>
    <w:rsid w:val="00516DF3"/>
    <w:rsid w:val="00517695"/>
    <w:rsid w:val="005179C0"/>
    <w:rsid w:val="00517F0F"/>
    <w:rsid w:val="005204B5"/>
    <w:rsid w:val="00521A34"/>
    <w:rsid w:val="00521B57"/>
    <w:rsid w:val="0052267B"/>
    <w:rsid w:val="0052518F"/>
    <w:rsid w:val="00525197"/>
    <w:rsid w:val="00525A41"/>
    <w:rsid w:val="005265BA"/>
    <w:rsid w:val="00526A3C"/>
    <w:rsid w:val="0052773A"/>
    <w:rsid w:val="0052787C"/>
    <w:rsid w:val="005278E5"/>
    <w:rsid w:val="005300CE"/>
    <w:rsid w:val="00531036"/>
    <w:rsid w:val="00532FEB"/>
    <w:rsid w:val="00533717"/>
    <w:rsid w:val="00533FB4"/>
    <w:rsid w:val="0053531C"/>
    <w:rsid w:val="005359A5"/>
    <w:rsid w:val="00540323"/>
    <w:rsid w:val="005406C5"/>
    <w:rsid w:val="005408A2"/>
    <w:rsid w:val="0054160C"/>
    <w:rsid w:val="00541EDA"/>
    <w:rsid w:val="00541EFA"/>
    <w:rsid w:val="005420CB"/>
    <w:rsid w:val="00542391"/>
    <w:rsid w:val="005423FD"/>
    <w:rsid w:val="00542A9E"/>
    <w:rsid w:val="00543C75"/>
    <w:rsid w:val="00543E71"/>
    <w:rsid w:val="0054471D"/>
    <w:rsid w:val="00544E2A"/>
    <w:rsid w:val="005464DE"/>
    <w:rsid w:val="00546834"/>
    <w:rsid w:val="005468F8"/>
    <w:rsid w:val="005502F4"/>
    <w:rsid w:val="00551FAD"/>
    <w:rsid w:val="00554D07"/>
    <w:rsid w:val="00557733"/>
    <w:rsid w:val="0055793C"/>
    <w:rsid w:val="00557EB2"/>
    <w:rsid w:val="00557EFE"/>
    <w:rsid w:val="0056039A"/>
    <w:rsid w:val="0056072D"/>
    <w:rsid w:val="005607F1"/>
    <w:rsid w:val="00560CC6"/>
    <w:rsid w:val="00560EED"/>
    <w:rsid w:val="00561212"/>
    <w:rsid w:val="00562328"/>
    <w:rsid w:val="0056378C"/>
    <w:rsid w:val="005645D0"/>
    <w:rsid w:val="00564965"/>
    <w:rsid w:val="00567923"/>
    <w:rsid w:val="005700CC"/>
    <w:rsid w:val="00570CC8"/>
    <w:rsid w:val="005714A9"/>
    <w:rsid w:val="00571899"/>
    <w:rsid w:val="00572361"/>
    <w:rsid w:val="005730CB"/>
    <w:rsid w:val="0057438E"/>
    <w:rsid w:val="005746F1"/>
    <w:rsid w:val="00574B66"/>
    <w:rsid w:val="00574D58"/>
    <w:rsid w:val="0057687A"/>
    <w:rsid w:val="00577131"/>
    <w:rsid w:val="00577419"/>
    <w:rsid w:val="005774B1"/>
    <w:rsid w:val="00580043"/>
    <w:rsid w:val="00580962"/>
    <w:rsid w:val="00580CCA"/>
    <w:rsid w:val="005811A4"/>
    <w:rsid w:val="005833BE"/>
    <w:rsid w:val="00583567"/>
    <w:rsid w:val="00583A02"/>
    <w:rsid w:val="005846F0"/>
    <w:rsid w:val="00584F11"/>
    <w:rsid w:val="00585002"/>
    <w:rsid w:val="005856F3"/>
    <w:rsid w:val="00585FA7"/>
    <w:rsid w:val="0058728D"/>
    <w:rsid w:val="00587A28"/>
    <w:rsid w:val="005909CB"/>
    <w:rsid w:val="00591FF4"/>
    <w:rsid w:val="00592FF5"/>
    <w:rsid w:val="00593177"/>
    <w:rsid w:val="0059336C"/>
    <w:rsid w:val="005935D5"/>
    <w:rsid w:val="005938CE"/>
    <w:rsid w:val="00594329"/>
    <w:rsid w:val="00594BDC"/>
    <w:rsid w:val="00594D7F"/>
    <w:rsid w:val="00595590"/>
    <w:rsid w:val="00595B24"/>
    <w:rsid w:val="00595D39"/>
    <w:rsid w:val="005960B4"/>
    <w:rsid w:val="00596D3C"/>
    <w:rsid w:val="005A09F2"/>
    <w:rsid w:val="005A13D1"/>
    <w:rsid w:val="005A18DD"/>
    <w:rsid w:val="005A2C92"/>
    <w:rsid w:val="005A2CE1"/>
    <w:rsid w:val="005A3381"/>
    <w:rsid w:val="005A361A"/>
    <w:rsid w:val="005A3B2B"/>
    <w:rsid w:val="005A3CA9"/>
    <w:rsid w:val="005A3E94"/>
    <w:rsid w:val="005A4BEB"/>
    <w:rsid w:val="005A5A0E"/>
    <w:rsid w:val="005A6A26"/>
    <w:rsid w:val="005A718F"/>
    <w:rsid w:val="005A7551"/>
    <w:rsid w:val="005B1443"/>
    <w:rsid w:val="005B2293"/>
    <w:rsid w:val="005B22E3"/>
    <w:rsid w:val="005B244D"/>
    <w:rsid w:val="005B26DC"/>
    <w:rsid w:val="005B2BCF"/>
    <w:rsid w:val="005B35B7"/>
    <w:rsid w:val="005B4102"/>
    <w:rsid w:val="005B4BA8"/>
    <w:rsid w:val="005B5853"/>
    <w:rsid w:val="005B7317"/>
    <w:rsid w:val="005C057D"/>
    <w:rsid w:val="005C0AF6"/>
    <w:rsid w:val="005C0CEF"/>
    <w:rsid w:val="005C14C7"/>
    <w:rsid w:val="005C26CB"/>
    <w:rsid w:val="005C2C5E"/>
    <w:rsid w:val="005C4118"/>
    <w:rsid w:val="005C41B1"/>
    <w:rsid w:val="005C4B88"/>
    <w:rsid w:val="005C53BE"/>
    <w:rsid w:val="005C6291"/>
    <w:rsid w:val="005C63CE"/>
    <w:rsid w:val="005C6831"/>
    <w:rsid w:val="005C68CC"/>
    <w:rsid w:val="005C734A"/>
    <w:rsid w:val="005C73B2"/>
    <w:rsid w:val="005C7958"/>
    <w:rsid w:val="005C7E16"/>
    <w:rsid w:val="005D0DEA"/>
    <w:rsid w:val="005D1001"/>
    <w:rsid w:val="005D1C86"/>
    <w:rsid w:val="005D1EC3"/>
    <w:rsid w:val="005D3515"/>
    <w:rsid w:val="005D465A"/>
    <w:rsid w:val="005D46E2"/>
    <w:rsid w:val="005D4CD3"/>
    <w:rsid w:val="005D5C10"/>
    <w:rsid w:val="005D5C3F"/>
    <w:rsid w:val="005D7BE9"/>
    <w:rsid w:val="005E1809"/>
    <w:rsid w:val="005E26C5"/>
    <w:rsid w:val="005E2C5B"/>
    <w:rsid w:val="005E48BE"/>
    <w:rsid w:val="005E4A44"/>
    <w:rsid w:val="005E5EC5"/>
    <w:rsid w:val="005E6903"/>
    <w:rsid w:val="005E6E8A"/>
    <w:rsid w:val="005F012C"/>
    <w:rsid w:val="005F05FA"/>
    <w:rsid w:val="005F0A9D"/>
    <w:rsid w:val="005F0B3D"/>
    <w:rsid w:val="005F23D1"/>
    <w:rsid w:val="005F2A43"/>
    <w:rsid w:val="005F2F05"/>
    <w:rsid w:val="005F606F"/>
    <w:rsid w:val="005F68A4"/>
    <w:rsid w:val="005F75E1"/>
    <w:rsid w:val="0060029D"/>
    <w:rsid w:val="00600DD5"/>
    <w:rsid w:val="006014E5"/>
    <w:rsid w:val="006023C7"/>
    <w:rsid w:val="006027FF"/>
    <w:rsid w:val="00602973"/>
    <w:rsid w:val="0060376B"/>
    <w:rsid w:val="00603BEA"/>
    <w:rsid w:val="006040C8"/>
    <w:rsid w:val="0060484B"/>
    <w:rsid w:val="006056D6"/>
    <w:rsid w:val="00605C21"/>
    <w:rsid w:val="006061AB"/>
    <w:rsid w:val="006061FC"/>
    <w:rsid w:val="00607870"/>
    <w:rsid w:val="00612CCC"/>
    <w:rsid w:val="00613AC0"/>
    <w:rsid w:val="00613FA9"/>
    <w:rsid w:val="0061406A"/>
    <w:rsid w:val="006142FB"/>
    <w:rsid w:val="006149EB"/>
    <w:rsid w:val="00615103"/>
    <w:rsid w:val="00616075"/>
    <w:rsid w:val="00616261"/>
    <w:rsid w:val="006163DE"/>
    <w:rsid w:val="00617165"/>
    <w:rsid w:val="00617650"/>
    <w:rsid w:val="00620521"/>
    <w:rsid w:val="00620600"/>
    <w:rsid w:val="00620A64"/>
    <w:rsid w:val="00620E5C"/>
    <w:rsid w:val="00621E12"/>
    <w:rsid w:val="0062308D"/>
    <w:rsid w:val="006234B9"/>
    <w:rsid w:val="006259D2"/>
    <w:rsid w:val="00625DE4"/>
    <w:rsid w:val="00626341"/>
    <w:rsid w:val="0062698D"/>
    <w:rsid w:val="00626A46"/>
    <w:rsid w:val="006275AC"/>
    <w:rsid w:val="00627BC8"/>
    <w:rsid w:val="0063044D"/>
    <w:rsid w:val="006307BC"/>
    <w:rsid w:val="00632016"/>
    <w:rsid w:val="006340F3"/>
    <w:rsid w:val="00636272"/>
    <w:rsid w:val="00636710"/>
    <w:rsid w:val="00637043"/>
    <w:rsid w:val="006375D5"/>
    <w:rsid w:val="0064079B"/>
    <w:rsid w:val="006418B2"/>
    <w:rsid w:val="00641F63"/>
    <w:rsid w:val="00642373"/>
    <w:rsid w:val="0064243E"/>
    <w:rsid w:val="00643D46"/>
    <w:rsid w:val="006446F7"/>
    <w:rsid w:val="00644767"/>
    <w:rsid w:val="00644BC7"/>
    <w:rsid w:val="006459B9"/>
    <w:rsid w:val="00645F63"/>
    <w:rsid w:val="00646016"/>
    <w:rsid w:val="00646390"/>
    <w:rsid w:val="00646912"/>
    <w:rsid w:val="00646BB4"/>
    <w:rsid w:val="00646C50"/>
    <w:rsid w:val="006478C3"/>
    <w:rsid w:val="006507A3"/>
    <w:rsid w:val="006514D1"/>
    <w:rsid w:val="00651CAC"/>
    <w:rsid w:val="00652714"/>
    <w:rsid w:val="006531C3"/>
    <w:rsid w:val="00653E22"/>
    <w:rsid w:val="00653E7E"/>
    <w:rsid w:val="00653FC6"/>
    <w:rsid w:val="00655DCD"/>
    <w:rsid w:val="0065633B"/>
    <w:rsid w:val="00657623"/>
    <w:rsid w:val="006577BA"/>
    <w:rsid w:val="006577C0"/>
    <w:rsid w:val="00660739"/>
    <w:rsid w:val="006610A2"/>
    <w:rsid w:val="0066172D"/>
    <w:rsid w:val="0066185B"/>
    <w:rsid w:val="00662226"/>
    <w:rsid w:val="00662521"/>
    <w:rsid w:val="00663F54"/>
    <w:rsid w:val="006649AC"/>
    <w:rsid w:val="00664DCD"/>
    <w:rsid w:val="00665B05"/>
    <w:rsid w:val="0066668D"/>
    <w:rsid w:val="006673B1"/>
    <w:rsid w:val="006678B5"/>
    <w:rsid w:val="006709B4"/>
    <w:rsid w:val="00671306"/>
    <w:rsid w:val="00671761"/>
    <w:rsid w:val="00672479"/>
    <w:rsid w:val="006726E5"/>
    <w:rsid w:val="00675BEA"/>
    <w:rsid w:val="00676605"/>
    <w:rsid w:val="006768D3"/>
    <w:rsid w:val="0067779C"/>
    <w:rsid w:val="00677CA4"/>
    <w:rsid w:val="00680BC3"/>
    <w:rsid w:val="00681154"/>
    <w:rsid w:val="006818BE"/>
    <w:rsid w:val="006838FE"/>
    <w:rsid w:val="0068499B"/>
    <w:rsid w:val="0069048A"/>
    <w:rsid w:val="006909BE"/>
    <w:rsid w:val="006910D3"/>
    <w:rsid w:val="00691C59"/>
    <w:rsid w:val="00691F3D"/>
    <w:rsid w:val="00692E1C"/>
    <w:rsid w:val="00692E48"/>
    <w:rsid w:val="006937B9"/>
    <w:rsid w:val="006937DD"/>
    <w:rsid w:val="00693A0D"/>
    <w:rsid w:val="00693B2A"/>
    <w:rsid w:val="006950A1"/>
    <w:rsid w:val="00695208"/>
    <w:rsid w:val="006953E6"/>
    <w:rsid w:val="0069548E"/>
    <w:rsid w:val="00695CEB"/>
    <w:rsid w:val="006974D6"/>
    <w:rsid w:val="006A07E0"/>
    <w:rsid w:val="006A0F2F"/>
    <w:rsid w:val="006A1384"/>
    <w:rsid w:val="006A13F5"/>
    <w:rsid w:val="006A1AB1"/>
    <w:rsid w:val="006A1B49"/>
    <w:rsid w:val="006A2C6E"/>
    <w:rsid w:val="006A32F8"/>
    <w:rsid w:val="006A3B90"/>
    <w:rsid w:val="006A5225"/>
    <w:rsid w:val="006A62AB"/>
    <w:rsid w:val="006A6CE9"/>
    <w:rsid w:val="006A6F33"/>
    <w:rsid w:val="006A7D17"/>
    <w:rsid w:val="006B196B"/>
    <w:rsid w:val="006B2759"/>
    <w:rsid w:val="006B2DDA"/>
    <w:rsid w:val="006B38B2"/>
    <w:rsid w:val="006B407A"/>
    <w:rsid w:val="006B419A"/>
    <w:rsid w:val="006B43F6"/>
    <w:rsid w:val="006B56C3"/>
    <w:rsid w:val="006B6320"/>
    <w:rsid w:val="006B6819"/>
    <w:rsid w:val="006B6CF6"/>
    <w:rsid w:val="006B7599"/>
    <w:rsid w:val="006B7BED"/>
    <w:rsid w:val="006C0DFC"/>
    <w:rsid w:val="006C144D"/>
    <w:rsid w:val="006C19F1"/>
    <w:rsid w:val="006C1DEC"/>
    <w:rsid w:val="006C22F7"/>
    <w:rsid w:val="006C243E"/>
    <w:rsid w:val="006C2726"/>
    <w:rsid w:val="006C28FF"/>
    <w:rsid w:val="006C2C25"/>
    <w:rsid w:val="006C2D67"/>
    <w:rsid w:val="006C3879"/>
    <w:rsid w:val="006C3F45"/>
    <w:rsid w:val="006C40D0"/>
    <w:rsid w:val="006C49C1"/>
    <w:rsid w:val="006C50E5"/>
    <w:rsid w:val="006C5D92"/>
    <w:rsid w:val="006C61C6"/>
    <w:rsid w:val="006C6249"/>
    <w:rsid w:val="006C6914"/>
    <w:rsid w:val="006C699C"/>
    <w:rsid w:val="006C771B"/>
    <w:rsid w:val="006C785C"/>
    <w:rsid w:val="006D03BA"/>
    <w:rsid w:val="006D07A7"/>
    <w:rsid w:val="006D10D4"/>
    <w:rsid w:val="006D1247"/>
    <w:rsid w:val="006D1A9C"/>
    <w:rsid w:val="006D2363"/>
    <w:rsid w:val="006D3420"/>
    <w:rsid w:val="006D3846"/>
    <w:rsid w:val="006D3F55"/>
    <w:rsid w:val="006D4364"/>
    <w:rsid w:val="006D4852"/>
    <w:rsid w:val="006D529E"/>
    <w:rsid w:val="006D53B3"/>
    <w:rsid w:val="006D5DAB"/>
    <w:rsid w:val="006D671A"/>
    <w:rsid w:val="006D6825"/>
    <w:rsid w:val="006E0E65"/>
    <w:rsid w:val="006E133C"/>
    <w:rsid w:val="006E4012"/>
    <w:rsid w:val="006E4832"/>
    <w:rsid w:val="006E4D85"/>
    <w:rsid w:val="006E5986"/>
    <w:rsid w:val="006E5EE6"/>
    <w:rsid w:val="006E6D0E"/>
    <w:rsid w:val="006E6E12"/>
    <w:rsid w:val="006E76E8"/>
    <w:rsid w:val="006F08B1"/>
    <w:rsid w:val="006F0F26"/>
    <w:rsid w:val="006F1178"/>
    <w:rsid w:val="006F11AE"/>
    <w:rsid w:val="006F1FDD"/>
    <w:rsid w:val="006F27F3"/>
    <w:rsid w:val="006F2D6A"/>
    <w:rsid w:val="006F2F65"/>
    <w:rsid w:val="006F429C"/>
    <w:rsid w:val="006F4E80"/>
    <w:rsid w:val="006F56C9"/>
    <w:rsid w:val="007006A0"/>
    <w:rsid w:val="0070071F"/>
    <w:rsid w:val="00700A01"/>
    <w:rsid w:val="00701360"/>
    <w:rsid w:val="00701DAE"/>
    <w:rsid w:val="00702C5F"/>
    <w:rsid w:val="007032DB"/>
    <w:rsid w:val="007034C1"/>
    <w:rsid w:val="0070353D"/>
    <w:rsid w:val="00703694"/>
    <w:rsid w:val="007050A9"/>
    <w:rsid w:val="0070515F"/>
    <w:rsid w:val="00705252"/>
    <w:rsid w:val="007067C6"/>
    <w:rsid w:val="00710495"/>
    <w:rsid w:val="007109E5"/>
    <w:rsid w:val="00710C26"/>
    <w:rsid w:val="00710E36"/>
    <w:rsid w:val="00711F0E"/>
    <w:rsid w:val="00712192"/>
    <w:rsid w:val="0071234D"/>
    <w:rsid w:val="0071249D"/>
    <w:rsid w:val="00712518"/>
    <w:rsid w:val="00713AE3"/>
    <w:rsid w:val="00713B85"/>
    <w:rsid w:val="00713E3A"/>
    <w:rsid w:val="00714191"/>
    <w:rsid w:val="007150E1"/>
    <w:rsid w:val="0071552D"/>
    <w:rsid w:val="00716CB5"/>
    <w:rsid w:val="00716F75"/>
    <w:rsid w:val="00717081"/>
    <w:rsid w:val="007171F6"/>
    <w:rsid w:val="00717598"/>
    <w:rsid w:val="00721319"/>
    <w:rsid w:val="00721901"/>
    <w:rsid w:val="00722A83"/>
    <w:rsid w:val="00722F36"/>
    <w:rsid w:val="007232FC"/>
    <w:rsid w:val="0072330D"/>
    <w:rsid w:val="0072380F"/>
    <w:rsid w:val="00723905"/>
    <w:rsid w:val="007242A8"/>
    <w:rsid w:val="0072440B"/>
    <w:rsid w:val="00724FF2"/>
    <w:rsid w:val="007252F0"/>
    <w:rsid w:val="00725450"/>
    <w:rsid w:val="00725E54"/>
    <w:rsid w:val="00726D08"/>
    <w:rsid w:val="00726EF3"/>
    <w:rsid w:val="00730DDB"/>
    <w:rsid w:val="007315DC"/>
    <w:rsid w:val="007327FE"/>
    <w:rsid w:val="007332CD"/>
    <w:rsid w:val="0073392C"/>
    <w:rsid w:val="00734C7D"/>
    <w:rsid w:val="00735861"/>
    <w:rsid w:val="007364F0"/>
    <w:rsid w:val="00736A3F"/>
    <w:rsid w:val="00736F87"/>
    <w:rsid w:val="00737699"/>
    <w:rsid w:val="00741710"/>
    <w:rsid w:val="00741873"/>
    <w:rsid w:val="00741AC0"/>
    <w:rsid w:val="007428E0"/>
    <w:rsid w:val="00743850"/>
    <w:rsid w:val="007442CF"/>
    <w:rsid w:val="00744682"/>
    <w:rsid w:val="007456E8"/>
    <w:rsid w:val="007458D7"/>
    <w:rsid w:val="007465F2"/>
    <w:rsid w:val="0074667C"/>
    <w:rsid w:val="007473E2"/>
    <w:rsid w:val="007474C1"/>
    <w:rsid w:val="00747C9A"/>
    <w:rsid w:val="00747F11"/>
    <w:rsid w:val="00750F38"/>
    <w:rsid w:val="0075172B"/>
    <w:rsid w:val="007517A1"/>
    <w:rsid w:val="00752684"/>
    <w:rsid w:val="007526DE"/>
    <w:rsid w:val="00752C8A"/>
    <w:rsid w:val="00753AB0"/>
    <w:rsid w:val="00753BD1"/>
    <w:rsid w:val="00754384"/>
    <w:rsid w:val="007550C5"/>
    <w:rsid w:val="007552B9"/>
    <w:rsid w:val="00757148"/>
    <w:rsid w:val="007601C3"/>
    <w:rsid w:val="0076058B"/>
    <w:rsid w:val="007610F4"/>
    <w:rsid w:val="00761C4D"/>
    <w:rsid w:val="00761EB1"/>
    <w:rsid w:val="00762277"/>
    <w:rsid w:val="007624F2"/>
    <w:rsid w:val="00762EEB"/>
    <w:rsid w:val="00762F3B"/>
    <w:rsid w:val="00763E02"/>
    <w:rsid w:val="00763FD6"/>
    <w:rsid w:val="007644D3"/>
    <w:rsid w:val="00764BE8"/>
    <w:rsid w:val="0076664F"/>
    <w:rsid w:val="00766B07"/>
    <w:rsid w:val="00766B42"/>
    <w:rsid w:val="00766C49"/>
    <w:rsid w:val="00766E4A"/>
    <w:rsid w:val="007676CD"/>
    <w:rsid w:val="00772504"/>
    <w:rsid w:val="00772A69"/>
    <w:rsid w:val="00772E24"/>
    <w:rsid w:val="00773AE0"/>
    <w:rsid w:val="00773B1A"/>
    <w:rsid w:val="00773C5F"/>
    <w:rsid w:val="007755C4"/>
    <w:rsid w:val="007767DF"/>
    <w:rsid w:val="00777521"/>
    <w:rsid w:val="0078075A"/>
    <w:rsid w:val="00780838"/>
    <w:rsid w:val="00780EB3"/>
    <w:rsid w:val="00780F72"/>
    <w:rsid w:val="0078189B"/>
    <w:rsid w:val="0078284C"/>
    <w:rsid w:val="00782855"/>
    <w:rsid w:val="00782867"/>
    <w:rsid w:val="007846EC"/>
    <w:rsid w:val="007848F3"/>
    <w:rsid w:val="00785215"/>
    <w:rsid w:val="00785431"/>
    <w:rsid w:val="007854B4"/>
    <w:rsid w:val="00785EC3"/>
    <w:rsid w:val="00786533"/>
    <w:rsid w:val="0078712A"/>
    <w:rsid w:val="0078738F"/>
    <w:rsid w:val="00790F19"/>
    <w:rsid w:val="0079101A"/>
    <w:rsid w:val="00791DE9"/>
    <w:rsid w:val="007920F6"/>
    <w:rsid w:val="0079244E"/>
    <w:rsid w:val="00793917"/>
    <w:rsid w:val="007946EE"/>
    <w:rsid w:val="00794923"/>
    <w:rsid w:val="00795602"/>
    <w:rsid w:val="00795666"/>
    <w:rsid w:val="00796525"/>
    <w:rsid w:val="00796C05"/>
    <w:rsid w:val="00796FCF"/>
    <w:rsid w:val="007978A4"/>
    <w:rsid w:val="00797B17"/>
    <w:rsid w:val="00797C69"/>
    <w:rsid w:val="007A0AD3"/>
    <w:rsid w:val="007A0ED5"/>
    <w:rsid w:val="007A1034"/>
    <w:rsid w:val="007A2E75"/>
    <w:rsid w:val="007A33A7"/>
    <w:rsid w:val="007A4574"/>
    <w:rsid w:val="007A483D"/>
    <w:rsid w:val="007A51EB"/>
    <w:rsid w:val="007A59E9"/>
    <w:rsid w:val="007A6259"/>
    <w:rsid w:val="007A724E"/>
    <w:rsid w:val="007A7370"/>
    <w:rsid w:val="007A7536"/>
    <w:rsid w:val="007A7A2F"/>
    <w:rsid w:val="007A7FF9"/>
    <w:rsid w:val="007B0CE9"/>
    <w:rsid w:val="007B0E20"/>
    <w:rsid w:val="007B179C"/>
    <w:rsid w:val="007B184C"/>
    <w:rsid w:val="007B18B7"/>
    <w:rsid w:val="007B1E47"/>
    <w:rsid w:val="007B2BD0"/>
    <w:rsid w:val="007B46D6"/>
    <w:rsid w:val="007B48AA"/>
    <w:rsid w:val="007B4CD6"/>
    <w:rsid w:val="007B52B2"/>
    <w:rsid w:val="007B55B0"/>
    <w:rsid w:val="007B61AD"/>
    <w:rsid w:val="007B65DB"/>
    <w:rsid w:val="007B6BA2"/>
    <w:rsid w:val="007C083B"/>
    <w:rsid w:val="007C0B3C"/>
    <w:rsid w:val="007C0B66"/>
    <w:rsid w:val="007C0B8F"/>
    <w:rsid w:val="007C15EE"/>
    <w:rsid w:val="007C198F"/>
    <w:rsid w:val="007C2133"/>
    <w:rsid w:val="007C32B7"/>
    <w:rsid w:val="007C33EC"/>
    <w:rsid w:val="007C4B2A"/>
    <w:rsid w:val="007C4E86"/>
    <w:rsid w:val="007C584B"/>
    <w:rsid w:val="007C78BD"/>
    <w:rsid w:val="007D06B4"/>
    <w:rsid w:val="007D0C5C"/>
    <w:rsid w:val="007D2108"/>
    <w:rsid w:val="007D250E"/>
    <w:rsid w:val="007D2521"/>
    <w:rsid w:val="007D3116"/>
    <w:rsid w:val="007D3160"/>
    <w:rsid w:val="007D3348"/>
    <w:rsid w:val="007D44FA"/>
    <w:rsid w:val="007D5076"/>
    <w:rsid w:val="007D6F28"/>
    <w:rsid w:val="007D7005"/>
    <w:rsid w:val="007D774C"/>
    <w:rsid w:val="007D7962"/>
    <w:rsid w:val="007E14DC"/>
    <w:rsid w:val="007E1CB1"/>
    <w:rsid w:val="007E2DA0"/>
    <w:rsid w:val="007E2FC7"/>
    <w:rsid w:val="007E46BE"/>
    <w:rsid w:val="007E527D"/>
    <w:rsid w:val="007E5431"/>
    <w:rsid w:val="007E5EAE"/>
    <w:rsid w:val="007E7579"/>
    <w:rsid w:val="007E76B8"/>
    <w:rsid w:val="007E7D20"/>
    <w:rsid w:val="007F017C"/>
    <w:rsid w:val="007F02C3"/>
    <w:rsid w:val="007F0583"/>
    <w:rsid w:val="007F0FD5"/>
    <w:rsid w:val="007F1A50"/>
    <w:rsid w:val="007F1F6D"/>
    <w:rsid w:val="007F262F"/>
    <w:rsid w:val="007F2DDA"/>
    <w:rsid w:val="007F314E"/>
    <w:rsid w:val="007F380B"/>
    <w:rsid w:val="007F4BE4"/>
    <w:rsid w:val="007F5313"/>
    <w:rsid w:val="007F67A6"/>
    <w:rsid w:val="007F7D9E"/>
    <w:rsid w:val="008001A2"/>
    <w:rsid w:val="0080219D"/>
    <w:rsid w:val="00803869"/>
    <w:rsid w:val="008039A9"/>
    <w:rsid w:val="00804076"/>
    <w:rsid w:val="00804D62"/>
    <w:rsid w:val="0080677A"/>
    <w:rsid w:val="00806D35"/>
    <w:rsid w:val="00807453"/>
    <w:rsid w:val="008118FA"/>
    <w:rsid w:val="00811DD1"/>
    <w:rsid w:val="0081256D"/>
    <w:rsid w:val="00812DD9"/>
    <w:rsid w:val="00813602"/>
    <w:rsid w:val="00814D00"/>
    <w:rsid w:val="00815558"/>
    <w:rsid w:val="00816262"/>
    <w:rsid w:val="00816851"/>
    <w:rsid w:val="00816B73"/>
    <w:rsid w:val="0081709A"/>
    <w:rsid w:val="0081792B"/>
    <w:rsid w:val="00817D63"/>
    <w:rsid w:val="00820198"/>
    <w:rsid w:val="00821CA6"/>
    <w:rsid w:val="00822900"/>
    <w:rsid w:val="00822BB5"/>
    <w:rsid w:val="00822CED"/>
    <w:rsid w:val="0082339E"/>
    <w:rsid w:val="00823775"/>
    <w:rsid w:val="00825C54"/>
    <w:rsid w:val="00826C32"/>
    <w:rsid w:val="008306E7"/>
    <w:rsid w:val="0083083A"/>
    <w:rsid w:val="00832623"/>
    <w:rsid w:val="00832A83"/>
    <w:rsid w:val="00832CA2"/>
    <w:rsid w:val="00832E55"/>
    <w:rsid w:val="0083356A"/>
    <w:rsid w:val="00834911"/>
    <w:rsid w:val="00834D08"/>
    <w:rsid w:val="00834F4A"/>
    <w:rsid w:val="0083507F"/>
    <w:rsid w:val="0083593C"/>
    <w:rsid w:val="0083602B"/>
    <w:rsid w:val="008366A8"/>
    <w:rsid w:val="008369F7"/>
    <w:rsid w:val="008371DD"/>
    <w:rsid w:val="0083775F"/>
    <w:rsid w:val="00840B95"/>
    <w:rsid w:val="00841374"/>
    <w:rsid w:val="0084157B"/>
    <w:rsid w:val="0084188B"/>
    <w:rsid w:val="008419C5"/>
    <w:rsid w:val="00841B61"/>
    <w:rsid w:val="00841C78"/>
    <w:rsid w:val="0084339B"/>
    <w:rsid w:val="00843430"/>
    <w:rsid w:val="00843C44"/>
    <w:rsid w:val="00843E95"/>
    <w:rsid w:val="00845D3E"/>
    <w:rsid w:val="00845DE1"/>
    <w:rsid w:val="0084633D"/>
    <w:rsid w:val="008474A2"/>
    <w:rsid w:val="00847D04"/>
    <w:rsid w:val="00850B18"/>
    <w:rsid w:val="00851769"/>
    <w:rsid w:val="00852010"/>
    <w:rsid w:val="00852B70"/>
    <w:rsid w:val="00852E8F"/>
    <w:rsid w:val="0085387F"/>
    <w:rsid w:val="00856322"/>
    <w:rsid w:val="00856D00"/>
    <w:rsid w:val="00857B15"/>
    <w:rsid w:val="0086026C"/>
    <w:rsid w:val="00860FD0"/>
    <w:rsid w:val="008620F0"/>
    <w:rsid w:val="00862B94"/>
    <w:rsid w:val="00863219"/>
    <w:rsid w:val="008635D2"/>
    <w:rsid w:val="00863A94"/>
    <w:rsid w:val="0086461A"/>
    <w:rsid w:val="00864B5E"/>
    <w:rsid w:val="00865DC7"/>
    <w:rsid w:val="00866F57"/>
    <w:rsid w:val="0086716E"/>
    <w:rsid w:val="0086782F"/>
    <w:rsid w:val="0087131D"/>
    <w:rsid w:val="00872CF2"/>
    <w:rsid w:val="00872E38"/>
    <w:rsid w:val="0087331C"/>
    <w:rsid w:val="00873F5D"/>
    <w:rsid w:val="00874090"/>
    <w:rsid w:val="0087593A"/>
    <w:rsid w:val="0087647E"/>
    <w:rsid w:val="00876A64"/>
    <w:rsid w:val="00877784"/>
    <w:rsid w:val="00877DDF"/>
    <w:rsid w:val="008802C3"/>
    <w:rsid w:val="008803A2"/>
    <w:rsid w:val="00880BCB"/>
    <w:rsid w:val="00880FAA"/>
    <w:rsid w:val="00882917"/>
    <w:rsid w:val="00884612"/>
    <w:rsid w:val="0088487B"/>
    <w:rsid w:val="00885311"/>
    <w:rsid w:val="00886244"/>
    <w:rsid w:val="00886B98"/>
    <w:rsid w:val="00890B9A"/>
    <w:rsid w:val="00890EFC"/>
    <w:rsid w:val="008919EF"/>
    <w:rsid w:val="00891E05"/>
    <w:rsid w:val="00891E35"/>
    <w:rsid w:val="00893277"/>
    <w:rsid w:val="00893DCD"/>
    <w:rsid w:val="00894109"/>
    <w:rsid w:val="00895238"/>
    <w:rsid w:val="00895E5A"/>
    <w:rsid w:val="00896271"/>
    <w:rsid w:val="00896441"/>
    <w:rsid w:val="00896479"/>
    <w:rsid w:val="00897B58"/>
    <w:rsid w:val="008A010B"/>
    <w:rsid w:val="008A09FC"/>
    <w:rsid w:val="008A0B76"/>
    <w:rsid w:val="008A129E"/>
    <w:rsid w:val="008A1E53"/>
    <w:rsid w:val="008A28C6"/>
    <w:rsid w:val="008A2FF1"/>
    <w:rsid w:val="008A30C3"/>
    <w:rsid w:val="008A3DA4"/>
    <w:rsid w:val="008A4E4D"/>
    <w:rsid w:val="008A5138"/>
    <w:rsid w:val="008A54D6"/>
    <w:rsid w:val="008A5910"/>
    <w:rsid w:val="008A5A43"/>
    <w:rsid w:val="008A64D8"/>
    <w:rsid w:val="008A7378"/>
    <w:rsid w:val="008A7427"/>
    <w:rsid w:val="008B0862"/>
    <w:rsid w:val="008B0C8E"/>
    <w:rsid w:val="008B1069"/>
    <w:rsid w:val="008B12B4"/>
    <w:rsid w:val="008B15E0"/>
    <w:rsid w:val="008B2CC4"/>
    <w:rsid w:val="008B376B"/>
    <w:rsid w:val="008B4AD5"/>
    <w:rsid w:val="008B4EFF"/>
    <w:rsid w:val="008B5AE2"/>
    <w:rsid w:val="008B6748"/>
    <w:rsid w:val="008B6804"/>
    <w:rsid w:val="008B6954"/>
    <w:rsid w:val="008B6C89"/>
    <w:rsid w:val="008C1A5E"/>
    <w:rsid w:val="008C2084"/>
    <w:rsid w:val="008C22B8"/>
    <w:rsid w:val="008C28EC"/>
    <w:rsid w:val="008C42A0"/>
    <w:rsid w:val="008C47D2"/>
    <w:rsid w:val="008C5425"/>
    <w:rsid w:val="008C5F09"/>
    <w:rsid w:val="008C604C"/>
    <w:rsid w:val="008C609B"/>
    <w:rsid w:val="008C6AF4"/>
    <w:rsid w:val="008C6B63"/>
    <w:rsid w:val="008D029B"/>
    <w:rsid w:val="008D24FD"/>
    <w:rsid w:val="008D31C9"/>
    <w:rsid w:val="008D321A"/>
    <w:rsid w:val="008D3719"/>
    <w:rsid w:val="008D4814"/>
    <w:rsid w:val="008D5F15"/>
    <w:rsid w:val="008D696C"/>
    <w:rsid w:val="008D6C55"/>
    <w:rsid w:val="008E07BF"/>
    <w:rsid w:val="008E2582"/>
    <w:rsid w:val="008E285E"/>
    <w:rsid w:val="008E2877"/>
    <w:rsid w:val="008E3788"/>
    <w:rsid w:val="008E3BBA"/>
    <w:rsid w:val="008E57B3"/>
    <w:rsid w:val="008E58AC"/>
    <w:rsid w:val="008F1C09"/>
    <w:rsid w:val="008F2113"/>
    <w:rsid w:val="008F2156"/>
    <w:rsid w:val="008F2415"/>
    <w:rsid w:val="008F2778"/>
    <w:rsid w:val="008F4575"/>
    <w:rsid w:val="008F4604"/>
    <w:rsid w:val="008F545D"/>
    <w:rsid w:val="008F6233"/>
    <w:rsid w:val="00900308"/>
    <w:rsid w:val="00900BCA"/>
    <w:rsid w:val="0090105D"/>
    <w:rsid w:val="009031DE"/>
    <w:rsid w:val="0090370C"/>
    <w:rsid w:val="00903AC1"/>
    <w:rsid w:val="00903ED1"/>
    <w:rsid w:val="0090551A"/>
    <w:rsid w:val="00905C1B"/>
    <w:rsid w:val="00906DED"/>
    <w:rsid w:val="00907778"/>
    <w:rsid w:val="00910432"/>
    <w:rsid w:val="00910ED0"/>
    <w:rsid w:val="00911557"/>
    <w:rsid w:val="00911E96"/>
    <w:rsid w:val="0091309C"/>
    <w:rsid w:val="009139FE"/>
    <w:rsid w:val="00914DCD"/>
    <w:rsid w:val="009155EC"/>
    <w:rsid w:val="00915E7F"/>
    <w:rsid w:val="009165FB"/>
    <w:rsid w:val="00916AA1"/>
    <w:rsid w:val="009173BB"/>
    <w:rsid w:val="00917D60"/>
    <w:rsid w:val="00920180"/>
    <w:rsid w:val="00920C9D"/>
    <w:rsid w:val="0092130F"/>
    <w:rsid w:val="00921487"/>
    <w:rsid w:val="00921AF2"/>
    <w:rsid w:val="00921BE8"/>
    <w:rsid w:val="009232A5"/>
    <w:rsid w:val="009261FB"/>
    <w:rsid w:val="00927835"/>
    <w:rsid w:val="00931640"/>
    <w:rsid w:val="009330C4"/>
    <w:rsid w:val="009331C9"/>
    <w:rsid w:val="00933A0E"/>
    <w:rsid w:val="00933AF1"/>
    <w:rsid w:val="00933CAE"/>
    <w:rsid w:val="009344DA"/>
    <w:rsid w:val="009348C0"/>
    <w:rsid w:val="00934AD3"/>
    <w:rsid w:val="009352D4"/>
    <w:rsid w:val="00935705"/>
    <w:rsid w:val="00936BE4"/>
    <w:rsid w:val="00937DF2"/>
    <w:rsid w:val="00940501"/>
    <w:rsid w:val="009408EC"/>
    <w:rsid w:val="00940CB4"/>
    <w:rsid w:val="00941354"/>
    <w:rsid w:val="00941D18"/>
    <w:rsid w:val="00942178"/>
    <w:rsid w:val="0094369F"/>
    <w:rsid w:val="00943C91"/>
    <w:rsid w:val="00943FDD"/>
    <w:rsid w:val="009446E1"/>
    <w:rsid w:val="009449CE"/>
    <w:rsid w:val="00944A0B"/>
    <w:rsid w:val="00944B12"/>
    <w:rsid w:val="009452B8"/>
    <w:rsid w:val="00945D2E"/>
    <w:rsid w:val="00946785"/>
    <w:rsid w:val="00946BCA"/>
    <w:rsid w:val="00947688"/>
    <w:rsid w:val="00947D74"/>
    <w:rsid w:val="009500B7"/>
    <w:rsid w:val="00950400"/>
    <w:rsid w:val="00950A8E"/>
    <w:rsid w:val="00951381"/>
    <w:rsid w:val="009545D8"/>
    <w:rsid w:val="009552E4"/>
    <w:rsid w:val="00955904"/>
    <w:rsid w:val="00956400"/>
    <w:rsid w:val="0095660E"/>
    <w:rsid w:val="00956825"/>
    <w:rsid w:val="00956AFA"/>
    <w:rsid w:val="00956F75"/>
    <w:rsid w:val="009574CD"/>
    <w:rsid w:val="00957798"/>
    <w:rsid w:val="009601B1"/>
    <w:rsid w:val="0096060A"/>
    <w:rsid w:val="00961100"/>
    <w:rsid w:val="00961BB0"/>
    <w:rsid w:val="0096258B"/>
    <w:rsid w:val="00962776"/>
    <w:rsid w:val="009627C8"/>
    <w:rsid w:val="00963244"/>
    <w:rsid w:val="009632D6"/>
    <w:rsid w:val="00963507"/>
    <w:rsid w:val="00963C18"/>
    <w:rsid w:val="00964DB3"/>
    <w:rsid w:val="009656C7"/>
    <w:rsid w:val="00965B09"/>
    <w:rsid w:val="00965DE3"/>
    <w:rsid w:val="00965F84"/>
    <w:rsid w:val="009667A9"/>
    <w:rsid w:val="00966C6B"/>
    <w:rsid w:val="009677DD"/>
    <w:rsid w:val="00970523"/>
    <w:rsid w:val="0097065C"/>
    <w:rsid w:val="00971048"/>
    <w:rsid w:val="009718C0"/>
    <w:rsid w:val="00971DB9"/>
    <w:rsid w:val="009736F7"/>
    <w:rsid w:val="00974F89"/>
    <w:rsid w:val="00975417"/>
    <w:rsid w:val="00975952"/>
    <w:rsid w:val="00975957"/>
    <w:rsid w:val="00975A16"/>
    <w:rsid w:val="00976789"/>
    <w:rsid w:val="00976E4D"/>
    <w:rsid w:val="00977178"/>
    <w:rsid w:val="00980802"/>
    <w:rsid w:val="00980E1A"/>
    <w:rsid w:val="009814E9"/>
    <w:rsid w:val="00981CFB"/>
    <w:rsid w:val="00981F0B"/>
    <w:rsid w:val="0098233D"/>
    <w:rsid w:val="009828AE"/>
    <w:rsid w:val="0098347F"/>
    <w:rsid w:val="00984027"/>
    <w:rsid w:val="00984364"/>
    <w:rsid w:val="00984CB9"/>
    <w:rsid w:val="00984F61"/>
    <w:rsid w:val="0098546D"/>
    <w:rsid w:val="0098774C"/>
    <w:rsid w:val="009878F0"/>
    <w:rsid w:val="00987AC6"/>
    <w:rsid w:val="0099004C"/>
    <w:rsid w:val="00990338"/>
    <w:rsid w:val="009921B9"/>
    <w:rsid w:val="00992822"/>
    <w:rsid w:val="0099304D"/>
    <w:rsid w:val="0099350C"/>
    <w:rsid w:val="00993820"/>
    <w:rsid w:val="00994149"/>
    <w:rsid w:val="0099497F"/>
    <w:rsid w:val="009953DA"/>
    <w:rsid w:val="00996330"/>
    <w:rsid w:val="00996406"/>
    <w:rsid w:val="00997D1E"/>
    <w:rsid w:val="009A093B"/>
    <w:rsid w:val="009A1526"/>
    <w:rsid w:val="009A1FF2"/>
    <w:rsid w:val="009A2462"/>
    <w:rsid w:val="009A4BEF"/>
    <w:rsid w:val="009A51DD"/>
    <w:rsid w:val="009A5226"/>
    <w:rsid w:val="009A54F4"/>
    <w:rsid w:val="009A5E67"/>
    <w:rsid w:val="009A619A"/>
    <w:rsid w:val="009A6229"/>
    <w:rsid w:val="009A70CF"/>
    <w:rsid w:val="009A70E9"/>
    <w:rsid w:val="009A7648"/>
    <w:rsid w:val="009A76B4"/>
    <w:rsid w:val="009A7721"/>
    <w:rsid w:val="009A77D1"/>
    <w:rsid w:val="009A7BC4"/>
    <w:rsid w:val="009B0299"/>
    <w:rsid w:val="009B0CD4"/>
    <w:rsid w:val="009B1959"/>
    <w:rsid w:val="009B2F67"/>
    <w:rsid w:val="009B2F6D"/>
    <w:rsid w:val="009B3022"/>
    <w:rsid w:val="009B4A22"/>
    <w:rsid w:val="009B4FA2"/>
    <w:rsid w:val="009B57C7"/>
    <w:rsid w:val="009B5969"/>
    <w:rsid w:val="009B5C51"/>
    <w:rsid w:val="009B5E6B"/>
    <w:rsid w:val="009B7702"/>
    <w:rsid w:val="009B79BF"/>
    <w:rsid w:val="009B7FA2"/>
    <w:rsid w:val="009C0410"/>
    <w:rsid w:val="009C1101"/>
    <w:rsid w:val="009C12E3"/>
    <w:rsid w:val="009C1C7D"/>
    <w:rsid w:val="009C2107"/>
    <w:rsid w:val="009C2DBC"/>
    <w:rsid w:val="009C2E92"/>
    <w:rsid w:val="009C3280"/>
    <w:rsid w:val="009C36C4"/>
    <w:rsid w:val="009C4146"/>
    <w:rsid w:val="009C4B3E"/>
    <w:rsid w:val="009C5522"/>
    <w:rsid w:val="009C5661"/>
    <w:rsid w:val="009C6004"/>
    <w:rsid w:val="009C71D7"/>
    <w:rsid w:val="009C7787"/>
    <w:rsid w:val="009C7A2E"/>
    <w:rsid w:val="009C7FBB"/>
    <w:rsid w:val="009D0710"/>
    <w:rsid w:val="009D0D05"/>
    <w:rsid w:val="009D34E8"/>
    <w:rsid w:val="009D44C9"/>
    <w:rsid w:val="009D4827"/>
    <w:rsid w:val="009D63C9"/>
    <w:rsid w:val="009D6B1F"/>
    <w:rsid w:val="009D6F04"/>
    <w:rsid w:val="009E01EA"/>
    <w:rsid w:val="009E06D9"/>
    <w:rsid w:val="009E0E24"/>
    <w:rsid w:val="009E0F59"/>
    <w:rsid w:val="009E106A"/>
    <w:rsid w:val="009E1D5A"/>
    <w:rsid w:val="009E2A64"/>
    <w:rsid w:val="009E38C2"/>
    <w:rsid w:val="009E3C1A"/>
    <w:rsid w:val="009E42FB"/>
    <w:rsid w:val="009E4B3F"/>
    <w:rsid w:val="009E53F4"/>
    <w:rsid w:val="009E5E09"/>
    <w:rsid w:val="009E68CC"/>
    <w:rsid w:val="009E69D0"/>
    <w:rsid w:val="009E7464"/>
    <w:rsid w:val="009E7BF3"/>
    <w:rsid w:val="009F0100"/>
    <w:rsid w:val="009F0119"/>
    <w:rsid w:val="009F07BE"/>
    <w:rsid w:val="009F15EB"/>
    <w:rsid w:val="009F1654"/>
    <w:rsid w:val="009F187E"/>
    <w:rsid w:val="009F1ACC"/>
    <w:rsid w:val="009F2C2F"/>
    <w:rsid w:val="009F3DEF"/>
    <w:rsid w:val="009F40DD"/>
    <w:rsid w:val="009F48CC"/>
    <w:rsid w:val="009F5047"/>
    <w:rsid w:val="009F5651"/>
    <w:rsid w:val="009F5808"/>
    <w:rsid w:val="009F6C2D"/>
    <w:rsid w:val="009F6F7E"/>
    <w:rsid w:val="009F7162"/>
    <w:rsid w:val="009F76DD"/>
    <w:rsid w:val="00A00A44"/>
    <w:rsid w:val="00A0195F"/>
    <w:rsid w:val="00A0205D"/>
    <w:rsid w:val="00A025B3"/>
    <w:rsid w:val="00A03411"/>
    <w:rsid w:val="00A03AD0"/>
    <w:rsid w:val="00A04753"/>
    <w:rsid w:val="00A04C0C"/>
    <w:rsid w:val="00A04D68"/>
    <w:rsid w:val="00A0697A"/>
    <w:rsid w:val="00A06A6D"/>
    <w:rsid w:val="00A07059"/>
    <w:rsid w:val="00A0764C"/>
    <w:rsid w:val="00A0766F"/>
    <w:rsid w:val="00A1301E"/>
    <w:rsid w:val="00A131A0"/>
    <w:rsid w:val="00A1462B"/>
    <w:rsid w:val="00A16B92"/>
    <w:rsid w:val="00A16F8D"/>
    <w:rsid w:val="00A170BC"/>
    <w:rsid w:val="00A17AA1"/>
    <w:rsid w:val="00A17D5D"/>
    <w:rsid w:val="00A21AF1"/>
    <w:rsid w:val="00A2222A"/>
    <w:rsid w:val="00A227D6"/>
    <w:rsid w:val="00A24351"/>
    <w:rsid w:val="00A246E0"/>
    <w:rsid w:val="00A25E68"/>
    <w:rsid w:val="00A30B52"/>
    <w:rsid w:val="00A31308"/>
    <w:rsid w:val="00A32213"/>
    <w:rsid w:val="00A325C5"/>
    <w:rsid w:val="00A32F59"/>
    <w:rsid w:val="00A3355B"/>
    <w:rsid w:val="00A3425B"/>
    <w:rsid w:val="00A34995"/>
    <w:rsid w:val="00A350B5"/>
    <w:rsid w:val="00A361B6"/>
    <w:rsid w:val="00A3697F"/>
    <w:rsid w:val="00A36D15"/>
    <w:rsid w:val="00A37A02"/>
    <w:rsid w:val="00A37CFA"/>
    <w:rsid w:val="00A4086A"/>
    <w:rsid w:val="00A42999"/>
    <w:rsid w:val="00A430BE"/>
    <w:rsid w:val="00A438CF"/>
    <w:rsid w:val="00A43FF9"/>
    <w:rsid w:val="00A44961"/>
    <w:rsid w:val="00A44CEC"/>
    <w:rsid w:val="00A44E83"/>
    <w:rsid w:val="00A450A9"/>
    <w:rsid w:val="00A45383"/>
    <w:rsid w:val="00A463E9"/>
    <w:rsid w:val="00A46880"/>
    <w:rsid w:val="00A472C7"/>
    <w:rsid w:val="00A50B96"/>
    <w:rsid w:val="00A528D8"/>
    <w:rsid w:val="00A5341B"/>
    <w:rsid w:val="00A53804"/>
    <w:rsid w:val="00A53A2F"/>
    <w:rsid w:val="00A53C41"/>
    <w:rsid w:val="00A53CBE"/>
    <w:rsid w:val="00A546DC"/>
    <w:rsid w:val="00A550A5"/>
    <w:rsid w:val="00A5544F"/>
    <w:rsid w:val="00A55D35"/>
    <w:rsid w:val="00A60805"/>
    <w:rsid w:val="00A6179A"/>
    <w:rsid w:val="00A61FE7"/>
    <w:rsid w:val="00A62399"/>
    <w:rsid w:val="00A63164"/>
    <w:rsid w:val="00A649E8"/>
    <w:rsid w:val="00A65849"/>
    <w:rsid w:val="00A661F5"/>
    <w:rsid w:val="00A673ED"/>
    <w:rsid w:val="00A67AF0"/>
    <w:rsid w:val="00A70FB2"/>
    <w:rsid w:val="00A717CB"/>
    <w:rsid w:val="00A71835"/>
    <w:rsid w:val="00A71A9A"/>
    <w:rsid w:val="00A71DE7"/>
    <w:rsid w:val="00A72453"/>
    <w:rsid w:val="00A72662"/>
    <w:rsid w:val="00A73BA8"/>
    <w:rsid w:val="00A76672"/>
    <w:rsid w:val="00A76AC3"/>
    <w:rsid w:val="00A76E8E"/>
    <w:rsid w:val="00A80178"/>
    <w:rsid w:val="00A80A94"/>
    <w:rsid w:val="00A8132F"/>
    <w:rsid w:val="00A81CAE"/>
    <w:rsid w:val="00A82294"/>
    <w:rsid w:val="00A82A18"/>
    <w:rsid w:val="00A834B6"/>
    <w:rsid w:val="00A84063"/>
    <w:rsid w:val="00A84DCB"/>
    <w:rsid w:val="00A85077"/>
    <w:rsid w:val="00A850C3"/>
    <w:rsid w:val="00A86A15"/>
    <w:rsid w:val="00A90063"/>
    <w:rsid w:val="00A90EFF"/>
    <w:rsid w:val="00A91BDD"/>
    <w:rsid w:val="00A91D4A"/>
    <w:rsid w:val="00A9200F"/>
    <w:rsid w:val="00A9382F"/>
    <w:rsid w:val="00A93A4B"/>
    <w:rsid w:val="00A94595"/>
    <w:rsid w:val="00A9467A"/>
    <w:rsid w:val="00A952F7"/>
    <w:rsid w:val="00A95589"/>
    <w:rsid w:val="00A9563B"/>
    <w:rsid w:val="00A95847"/>
    <w:rsid w:val="00A95C57"/>
    <w:rsid w:val="00A96785"/>
    <w:rsid w:val="00AA0209"/>
    <w:rsid w:val="00AA0364"/>
    <w:rsid w:val="00AA03C9"/>
    <w:rsid w:val="00AA1288"/>
    <w:rsid w:val="00AA219C"/>
    <w:rsid w:val="00AA2774"/>
    <w:rsid w:val="00AA2A4F"/>
    <w:rsid w:val="00AA2C1B"/>
    <w:rsid w:val="00AA3169"/>
    <w:rsid w:val="00AA343B"/>
    <w:rsid w:val="00AA3F6E"/>
    <w:rsid w:val="00AA49FC"/>
    <w:rsid w:val="00AA6FAF"/>
    <w:rsid w:val="00AA7078"/>
    <w:rsid w:val="00AB0389"/>
    <w:rsid w:val="00AB1165"/>
    <w:rsid w:val="00AB1C54"/>
    <w:rsid w:val="00AB1F65"/>
    <w:rsid w:val="00AB262E"/>
    <w:rsid w:val="00AB2B25"/>
    <w:rsid w:val="00AB2CA4"/>
    <w:rsid w:val="00AB4791"/>
    <w:rsid w:val="00AB4A7C"/>
    <w:rsid w:val="00AB5D9D"/>
    <w:rsid w:val="00AB5F42"/>
    <w:rsid w:val="00AB624C"/>
    <w:rsid w:val="00AB6865"/>
    <w:rsid w:val="00AB7029"/>
    <w:rsid w:val="00AB7CBC"/>
    <w:rsid w:val="00AC084B"/>
    <w:rsid w:val="00AC0F86"/>
    <w:rsid w:val="00AC16A9"/>
    <w:rsid w:val="00AC2C5F"/>
    <w:rsid w:val="00AC2ECC"/>
    <w:rsid w:val="00AC2F97"/>
    <w:rsid w:val="00AC35A6"/>
    <w:rsid w:val="00AC384D"/>
    <w:rsid w:val="00AC3FA9"/>
    <w:rsid w:val="00AC44F7"/>
    <w:rsid w:val="00AC48DD"/>
    <w:rsid w:val="00AC5EF8"/>
    <w:rsid w:val="00AC6643"/>
    <w:rsid w:val="00AC6EC0"/>
    <w:rsid w:val="00AC6FE0"/>
    <w:rsid w:val="00AD03F1"/>
    <w:rsid w:val="00AD09A5"/>
    <w:rsid w:val="00AD0CD8"/>
    <w:rsid w:val="00AD131B"/>
    <w:rsid w:val="00AD1DBF"/>
    <w:rsid w:val="00AD26B5"/>
    <w:rsid w:val="00AD3255"/>
    <w:rsid w:val="00AD39C4"/>
    <w:rsid w:val="00AD440E"/>
    <w:rsid w:val="00AD5662"/>
    <w:rsid w:val="00AD5B85"/>
    <w:rsid w:val="00AD6E69"/>
    <w:rsid w:val="00AD7405"/>
    <w:rsid w:val="00AD7AE4"/>
    <w:rsid w:val="00AE1130"/>
    <w:rsid w:val="00AE1A04"/>
    <w:rsid w:val="00AE1A98"/>
    <w:rsid w:val="00AE1F29"/>
    <w:rsid w:val="00AE2328"/>
    <w:rsid w:val="00AE2AF0"/>
    <w:rsid w:val="00AE375E"/>
    <w:rsid w:val="00AE3837"/>
    <w:rsid w:val="00AE4361"/>
    <w:rsid w:val="00AE46E9"/>
    <w:rsid w:val="00AE52A8"/>
    <w:rsid w:val="00AE52C8"/>
    <w:rsid w:val="00AE6D2C"/>
    <w:rsid w:val="00AE6D45"/>
    <w:rsid w:val="00AE6E05"/>
    <w:rsid w:val="00AE7774"/>
    <w:rsid w:val="00AF02CA"/>
    <w:rsid w:val="00AF0E08"/>
    <w:rsid w:val="00AF18E0"/>
    <w:rsid w:val="00AF19DD"/>
    <w:rsid w:val="00AF27D7"/>
    <w:rsid w:val="00AF2FD8"/>
    <w:rsid w:val="00AF4142"/>
    <w:rsid w:val="00AF5104"/>
    <w:rsid w:val="00AF583D"/>
    <w:rsid w:val="00AF7646"/>
    <w:rsid w:val="00AF7B06"/>
    <w:rsid w:val="00AF7B43"/>
    <w:rsid w:val="00B01240"/>
    <w:rsid w:val="00B02707"/>
    <w:rsid w:val="00B02771"/>
    <w:rsid w:val="00B0393B"/>
    <w:rsid w:val="00B03C68"/>
    <w:rsid w:val="00B042ED"/>
    <w:rsid w:val="00B04AC8"/>
    <w:rsid w:val="00B04BC9"/>
    <w:rsid w:val="00B04C94"/>
    <w:rsid w:val="00B04D89"/>
    <w:rsid w:val="00B0728A"/>
    <w:rsid w:val="00B07DE8"/>
    <w:rsid w:val="00B100CE"/>
    <w:rsid w:val="00B1085A"/>
    <w:rsid w:val="00B11299"/>
    <w:rsid w:val="00B11FC4"/>
    <w:rsid w:val="00B1273B"/>
    <w:rsid w:val="00B12AB9"/>
    <w:rsid w:val="00B12D0F"/>
    <w:rsid w:val="00B12E85"/>
    <w:rsid w:val="00B13007"/>
    <w:rsid w:val="00B1305F"/>
    <w:rsid w:val="00B132C9"/>
    <w:rsid w:val="00B13325"/>
    <w:rsid w:val="00B14973"/>
    <w:rsid w:val="00B15042"/>
    <w:rsid w:val="00B150F4"/>
    <w:rsid w:val="00B15383"/>
    <w:rsid w:val="00B15527"/>
    <w:rsid w:val="00B15DEE"/>
    <w:rsid w:val="00B16459"/>
    <w:rsid w:val="00B167AA"/>
    <w:rsid w:val="00B179CD"/>
    <w:rsid w:val="00B17CD6"/>
    <w:rsid w:val="00B17E67"/>
    <w:rsid w:val="00B17EF9"/>
    <w:rsid w:val="00B20F45"/>
    <w:rsid w:val="00B21124"/>
    <w:rsid w:val="00B2134C"/>
    <w:rsid w:val="00B220A0"/>
    <w:rsid w:val="00B2328F"/>
    <w:rsid w:val="00B239BD"/>
    <w:rsid w:val="00B240D7"/>
    <w:rsid w:val="00B246A4"/>
    <w:rsid w:val="00B27344"/>
    <w:rsid w:val="00B27445"/>
    <w:rsid w:val="00B3066F"/>
    <w:rsid w:val="00B32613"/>
    <w:rsid w:val="00B327ED"/>
    <w:rsid w:val="00B32830"/>
    <w:rsid w:val="00B33474"/>
    <w:rsid w:val="00B33D3A"/>
    <w:rsid w:val="00B33DA8"/>
    <w:rsid w:val="00B343D7"/>
    <w:rsid w:val="00B344EC"/>
    <w:rsid w:val="00B34C9A"/>
    <w:rsid w:val="00B35858"/>
    <w:rsid w:val="00B35EED"/>
    <w:rsid w:val="00B362E1"/>
    <w:rsid w:val="00B363CD"/>
    <w:rsid w:val="00B366F6"/>
    <w:rsid w:val="00B416C2"/>
    <w:rsid w:val="00B41EF3"/>
    <w:rsid w:val="00B424FE"/>
    <w:rsid w:val="00B43005"/>
    <w:rsid w:val="00B431E7"/>
    <w:rsid w:val="00B43787"/>
    <w:rsid w:val="00B43910"/>
    <w:rsid w:val="00B43A67"/>
    <w:rsid w:val="00B43B8D"/>
    <w:rsid w:val="00B4556C"/>
    <w:rsid w:val="00B45FEF"/>
    <w:rsid w:val="00B46271"/>
    <w:rsid w:val="00B46E49"/>
    <w:rsid w:val="00B4711B"/>
    <w:rsid w:val="00B471ED"/>
    <w:rsid w:val="00B47736"/>
    <w:rsid w:val="00B47826"/>
    <w:rsid w:val="00B50CB8"/>
    <w:rsid w:val="00B50D66"/>
    <w:rsid w:val="00B51535"/>
    <w:rsid w:val="00B51CE1"/>
    <w:rsid w:val="00B51EA2"/>
    <w:rsid w:val="00B51EAD"/>
    <w:rsid w:val="00B5201A"/>
    <w:rsid w:val="00B52125"/>
    <w:rsid w:val="00B5283A"/>
    <w:rsid w:val="00B54A11"/>
    <w:rsid w:val="00B54E8F"/>
    <w:rsid w:val="00B55102"/>
    <w:rsid w:val="00B56422"/>
    <w:rsid w:val="00B572E2"/>
    <w:rsid w:val="00B57AD6"/>
    <w:rsid w:val="00B605B9"/>
    <w:rsid w:val="00B60795"/>
    <w:rsid w:val="00B60ACB"/>
    <w:rsid w:val="00B610D6"/>
    <w:rsid w:val="00B6188C"/>
    <w:rsid w:val="00B618E1"/>
    <w:rsid w:val="00B618F1"/>
    <w:rsid w:val="00B62353"/>
    <w:rsid w:val="00B6242C"/>
    <w:rsid w:val="00B62A84"/>
    <w:rsid w:val="00B63AA3"/>
    <w:rsid w:val="00B64966"/>
    <w:rsid w:val="00B65AD6"/>
    <w:rsid w:val="00B66719"/>
    <w:rsid w:val="00B679F2"/>
    <w:rsid w:val="00B707B0"/>
    <w:rsid w:val="00B7087F"/>
    <w:rsid w:val="00B71930"/>
    <w:rsid w:val="00B71CBB"/>
    <w:rsid w:val="00B72A8B"/>
    <w:rsid w:val="00B74A84"/>
    <w:rsid w:val="00B74E94"/>
    <w:rsid w:val="00B77786"/>
    <w:rsid w:val="00B77EE5"/>
    <w:rsid w:val="00B77F00"/>
    <w:rsid w:val="00B80151"/>
    <w:rsid w:val="00B8016D"/>
    <w:rsid w:val="00B806CD"/>
    <w:rsid w:val="00B817B1"/>
    <w:rsid w:val="00B8198B"/>
    <w:rsid w:val="00B819DB"/>
    <w:rsid w:val="00B81B4B"/>
    <w:rsid w:val="00B8234E"/>
    <w:rsid w:val="00B82B89"/>
    <w:rsid w:val="00B83143"/>
    <w:rsid w:val="00B834AB"/>
    <w:rsid w:val="00B83CE3"/>
    <w:rsid w:val="00B84E7F"/>
    <w:rsid w:val="00B856FF"/>
    <w:rsid w:val="00B90B09"/>
    <w:rsid w:val="00B90EBC"/>
    <w:rsid w:val="00B91545"/>
    <w:rsid w:val="00B91C4A"/>
    <w:rsid w:val="00B92718"/>
    <w:rsid w:val="00B934F9"/>
    <w:rsid w:val="00B9403E"/>
    <w:rsid w:val="00B9440A"/>
    <w:rsid w:val="00B94E88"/>
    <w:rsid w:val="00B9562C"/>
    <w:rsid w:val="00B95C24"/>
    <w:rsid w:val="00B95F80"/>
    <w:rsid w:val="00B96BCA"/>
    <w:rsid w:val="00B96D27"/>
    <w:rsid w:val="00B9753D"/>
    <w:rsid w:val="00B97B6E"/>
    <w:rsid w:val="00BA0CBE"/>
    <w:rsid w:val="00BA0E51"/>
    <w:rsid w:val="00BA1669"/>
    <w:rsid w:val="00BA167D"/>
    <w:rsid w:val="00BA1BBA"/>
    <w:rsid w:val="00BA1CF5"/>
    <w:rsid w:val="00BA1E26"/>
    <w:rsid w:val="00BA2F56"/>
    <w:rsid w:val="00BA38AA"/>
    <w:rsid w:val="00BA3B6B"/>
    <w:rsid w:val="00BA3E48"/>
    <w:rsid w:val="00BA42F2"/>
    <w:rsid w:val="00BA43B1"/>
    <w:rsid w:val="00BA478E"/>
    <w:rsid w:val="00BA4DAB"/>
    <w:rsid w:val="00BA4EAF"/>
    <w:rsid w:val="00BA51CE"/>
    <w:rsid w:val="00BA7695"/>
    <w:rsid w:val="00BA79F4"/>
    <w:rsid w:val="00BB00B3"/>
    <w:rsid w:val="00BB1739"/>
    <w:rsid w:val="00BB1BD0"/>
    <w:rsid w:val="00BB1E99"/>
    <w:rsid w:val="00BB23A1"/>
    <w:rsid w:val="00BB3053"/>
    <w:rsid w:val="00BB3384"/>
    <w:rsid w:val="00BB417D"/>
    <w:rsid w:val="00BB5D85"/>
    <w:rsid w:val="00BB6CD7"/>
    <w:rsid w:val="00BB7F84"/>
    <w:rsid w:val="00BC09AA"/>
    <w:rsid w:val="00BC0F12"/>
    <w:rsid w:val="00BC1910"/>
    <w:rsid w:val="00BC22FF"/>
    <w:rsid w:val="00BC2D24"/>
    <w:rsid w:val="00BC3C07"/>
    <w:rsid w:val="00BC3F9D"/>
    <w:rsid w:val="00BC5163"/>
    <w:rsid w:val="00BC55FD"/>
    <w:rsid w:val="00BC6A1A"/>
    <w:rsid w:val="00BC7566"/>
    <w:rsid w:val="00BD0D35"/>
    <w:rsid w:val="00BD1FDE"/>
    <w:rsid w:val="00BD3083"/>
    <w:rsid w:val="00BD4571"/>
    <w:rsid w:val="00BD4B3A"/>
    <w:rsid w:val="00BD4DCC"/>
    <w:rsid w:val="00BD5119"/>
    <w:rsid w:val="00BD5368"/>
    <w:rsid w:val="00BD5598"/>
    <w:rsid w:val="00BD5ABE"/>
    <w:rsid w:val="00BD5B07"/>
    <w:rsid w:val="00BD6180"/>
    <w:rsid w:val="00BD68A0"/>
    <w:rsid w:val="00BD6E18"/>
    <w:rsid w:val="00BE019A"/>
    <w:rsid w:val="00BE0FB8"/>
    <w:rsid w:val="00BE20D7"/>
    <w:rsid w:val="00BE285C"/>
    <w:rsid w:val="00BE36D3"/>
    <w:rsid w:val="00BE3B2A"/>
    <w:rsid w:val="00BE3BDF"/>
    <w:rsid w:val="00BE44DA"/>
    <w:rsid w:val="00BE46FC"/>
    <w:rsid w:val="00BE4F25"/>
    <w:rsid w:val="00BE5EA5"/>
    <w:rsid w:val="00BE6624"/>
    <w:rsid w:val="00BE68F6"/>
    <w:rsid w:val="00BE69A1"/>
    <w:rsid w:val="00BE69D3"/>
    <w:rsid w:val="00BE74D3"/>
    <w:rsid w:val="00BE7CC2"/>
    <w:rsid w:val="00BE7E67"/>
    <w:rsid w:val="00BE7FB7"/>
    <w:rsid w:val="00BF0131"/>
    <w:rsid w:val="00BF11AC"/>
    <w:rsid w:val="00BF1BBC"/>
    <w:rsid w:val="00BF32CC"/>
    <w:rsid w:val="00BF3600"/>
    <w:rsid w:val="00BF50CB"/>
    <w:rsid w:val="00BF50D2"/>
    <w:rsid w:val="00BF5FE5"/>
    <w:rsid w:val="00BF60E2"/>
    <w:rsid w:val="00BF6102"/>
    <w:rsid w:val="00BF62E9"/>
    <w:rsid w:val="00BF7A88"/>
    <w:rsid w:val="00C0002A"/>
    <w:rsid w:val="00C0018F"/>
    <w:rsid w:val="00C011EC"/>
    <w:rsid w:val="00C0157F"/>
    <w:rsid w:val="00C015C9"/>
    <w:rsid w:val="00C01B09"/>
    <w:rsid w:val="00C02265"/>
    <w:rsid w:val="00C0263A"/>
    <w:rsid w:val="00C02659"/>
    <w:rsid w:val="00C0303D"/>
    <w:rsid w:val="00C03656"/>
    <w:rsid w:val="00C041CB"/>
    <w:rsid w:val="00C052D0"/>
    <w:rsid w:val="00C05A4A"/>
    <w:rsid w:val="00C062CC"/>
    <w:rsid w:val="00C06C60"/>
    <w:rsid w:val="00C06E8A"/>
    <w:rsid w:val="00C071DC"/>
    <w:rsid w:val="00C07FCD"/>
    <w:rsid w:val="00C1186E"/>
    <w:rsid w:val="00C11B36"/>
    <w:rsid w:val="00C124AA"/>
    <w:rsid w:val="00C125BB"/>
    <w:rsid w:val="00C127AD"/>
    <w:rsid w:val="00C12A97"/>
    <w:rsid w:val="00C1302A"/>
    <w:rsid w:val="00C13331"/>
    <w:rsid w:val="00C134C3"/>
    <w:rsid w:val="00C142FE"/>
    <w:rsid w:val="00C161FE"/>
    <w:rsid w:val="00C1657E"/>
    <w:rsid w:val="00C173AB"/>
    <w:rsid w:val="00C17407"/>
    <w:rsid w:val="00C177C1"/>
    <w:rsid w:val="00C207A5"/>
    <w:rsid w:val="00C21256"/>
    <w:rsid w:val="00C21CE4"/>
    <w:rsid w:val="00C221E5"/>
    <w:rsid w:val="00C22639"/>
    <w:rsid w:val="00C23487"/>
    <w:rsid w:val="00C24917"/>
    <w:rsid w:val="00C25418"/>
    <w:rsid w:val="00C25617"/>
    <w:rsid w:val="00C260A6"/>
    <w:rsid w:val="00C26943"/>
    <w:rsid w:val="00C27009"/>
    <w:rsid w:val="00C27843"/>
    <w:rsid w:val="00C314E1"/>
    <w:rsid w:val="00C31763"/>
    <w:rsid w:val="00C31C53"/>
    <w:rsid w:val="00C321FC"/>
    <w:rsid w:val="00C32630"/>
    <w:rsid w:val="00C329FD"/>
    <w:rsid w:val="00C32C65"/>
    <w:rsid w:val="00C32CDD"/>
    <w:rsid w:val="00C33D15"/>
    <w:rsid w:val="00C33D9D"/>
    <w:rsid w:val="00C345D8"/>
    <w:rsid w:val="00C349C7"/>
    <w:rsid w:val="00C36CAF"/>
    <w:rsid w:val="00C37C0B"/>
    <w:rsid w:val="00C41291"/>
    <w:rsid w:val="00C416F2"/>
    <w:rsid w:val="00C41836"/>
    <w:rsid w:val="00C41E33"/>
    <w:rsid w:val="00C42D3C"/>
    <w:rsid w:val="00C42E2E"/>
    <w:rsid w:val="00C42F60"/>
    <w:rsid w:val="00C43343"/>
    <w:rsid w:val="00C43681"/>
    <w:rsid w:val="00C447CC"/>
    <w:rsid w:val="00C44B03"/>
    <w:rsid w:val="00C459F4"/>
    <w:rsid w:val="00C46916"/>
    <w:rsid w:val="00C46990"/>
    <w:rsid w:val="00C50800"/>
    <w:rsid w:val="00C5085F"/>
    <w:rsid w:val="00C52D89"/>
    <w:rsid w:val="00C53396"/>
    <w:rsid w:val="00C535A5"/>
    <w:rsid w:val="00C53B40"/>
    <w:rsid w:val="00C54D46"/>
    <w:rsid w:val="00C5549B"/>
    <w:rsid w:val="00C55D72"/>
    <w:rsid w:val="00C56042"/>
    <w:rsid w:val="00C56A82"/>
    <w:rsid w:val="00C56CAD"/>
    <w:rsid w:val="00C57AB3"/>
    <w:rsid w:val="00C57BFE"/>
    <w:rsid w:val="00C6007E"/>
    <w:rsid w:val="00C6059A"/>
    <w:rsid w:val="00C610DE"/>
    <w:rsid w:val="00C61156"/>
    <w:rsid w:val="00C61790"/>
    <w:rsid w:val="00C61862"/>
    <w:rsid w:val="00C61B1F"/>
    <w:rsid w:val="00C62187"/>
    <w:rsid w:val="00C626F0"/>
    <w:rsid w:val="00C62DBB"/>
    <w:rsid w:val="00C62E6C"/>
    <w:rsid w:val="00C63214"/>
    <w:rsid w:val="00C63BCF"/>
    <w:rsid w:val="00C6463F"/>
    <w:rsid w:val="00C6621F"/>
    <w:rsid w:val="00C6685E"/>
    <w:rsid w:val="00C70A2A"/>
    <w:rsid w:val="00C70DC7"/>
    <w:rsid w:val="00C717FD"/>
    <w:rsid w:val="00C71935"/>
    <w:rsid w:val="00C71974"/>
    <w:rsid w:val="00C7234D"/>
    <w:rsid w:val="00C7236B"/>
    <w:rsid w:val="00C733F0"/>
    <w:rsid w:val="00C73497"/>
    <w:rsid w:val="00C73717"/>
    <w:rsid w:val="00C73AD0"/>
    <w:rsid w:val="00C75368"/>
    <w:rsid w:val="00C75981"/>
    <w:rsid w:val="00C76B27"/>
    <w:rsid w:val="00C775FB"/>
    <w:rsid w:val="00C81041"/>
    <w:rsid w:val="00C81980"/>
    <w:rsid w:val="00C828DF"/>
    <w:rsid w:val="00C8412A"/>
    <w:rsid w:val="00C846BC"/>
    <w:rsid w:val="00C84798"/>
    <w:rsid w:val="00C84A55"/>
    <w:rsid w:val="00C84A85"/>
    <w:rsid w:val="00C856AE"/>
    <w:rsid w:val="00C85D5E"/>
    <w:rsid w:val="00C862CC"/>
    <w:rsid w:val="00C86947"/>
    <w:rsid w:val="00C86BEB"/>
    <w:rsid w:val="00C871ED"/>
    <w:rsid w:val="00C87D67"/>
    <w:rsid w:val="00C91276"/>
    <w:rsid w:val="00C9158F"/>
    <w:rsid w:val="00C924AC"/>
    <w:rsid w:val="00C92B02"/>
    <w:rsid w:val="00C93AD4"/>
    <w:rsid w:val="00C950E8"/>
    <w:rsid w:val="00C95565"/>
    <w:rsid w:val="00C95D8B"/>
    <w:rsid w:val="00C965EA"/>
    <w:rsid w:val="00C96709"/>
    <w:rsid w:val="00C97A03"/>
    <w:rsid w:val="00CA2AF8"/>
    <w:rsid w:val="00CA2CBA"/>
    <w:rsid w:val="00CA332C"/>
    <w:rsid w:val="00CA3BA8"/>
    <w:rsid w:val="00CA3C01"/>
    <w:rsid w:val="00CA44D0"/>
    <w:rsid w:val="00CA4B4E"/>
    <w:rsid w:val="00CA52CD"/>
    <w:rsid w:val="00CA5BBC"/>
    <w:rsid w:val="00CA5D08"/>
    <w:rsid w:val="00CA7930"/>
    <w:rsid w:val="00CB0608"/>
    <w:rsid w:val="00CB0749"/>
    <w:rsid w:val="00CB0F15"/>
    <w:rsid w:val="00CB2213"/>
    <w:rsid w:val="00CB23A7"/>
    <w:rsid w:val="00CB2483"/>
    <w:rsid w:val="00CB3311"/>
    <w:rsid w:val="00CB36CE"/>
    <w:rsid w:val="00CB406A"/>
    <w:rsid w:val="00CB4298"/>
    <w:rsid w:val="00CC0297"/>
    <w:rsid w:val="00CC07B7"/>
    <w:rsid w:val="00CC19EA"/>
    <w:rsid w:val="00CC2AD0"/>
    <w:rsid w:val="00CC2EAE"/>
    <w:rsid w:val="00CC4309"/>
    <w:rsid w:val="00CC5E5E"/>
    <w:rsid w:val="00CC691F"/>
    <w:rsid w:val="00CC6E75"/>
    <w:rsid w:val="00CC6EDC"/>
    <w:rsid w:val="00CC7B45"/>
    <w:rsid w:val="00CD0986"/>
    <w:rsid w:val="00CD14FE"/>
    <w:rsid w:val="00CD2636"/>
    <w:rsid w:val="00CD2B5D"/>
    <w:rsid w:val="00CD3075"/>
    <w:rsid w:val="00CD3269"/>
    <w:rsid w:val="00CD39F7"/>
    <w:rsid w:val="00CD3D1B"/>
    <w:rsid w:val="00CD490B"/>
    <w:rsid w:val="00CD4C86"/>
    <w:rsid w:val="00CD545F"/>
    <w:rsid w:val="00CD56AF"/>
    <w:rsid w:val="00CD5C61"/>
    <w:rsid w:val="00CD6002"/>
    <w:rsid w:val="00CD6572"/>
    <w:rsid w:val="00CD6E23"/>
    <w:rsid w:val="00CD7204"/>
    <w:rsid w:val="00CD7256"/>
    <w:rsid w:val="00CD7C29"/>
    <w:rsid w:val="00CE085C"/>
    <w:rsid w:val="00CE0A98"/>
    <w:rsid w:val="00CE0BFC"/>
    <w:rsid w:val="00CE0C5B"/>
    <w:rsid w:val="00CE2736"/>
    <w:rsid w:val="00CE2AC2"/>
    <w:rsid w:val="00CE2CA1"/>
    <w:rsid w:val="00CE2D2F"/>
    <w:rsid w:val="00CE34D8"/>
    <w:rsid w:val="00CE38AA"/>
    <w:rsid w:val="00CE59BF"/>
    <w:rsid w:val="00CE741E"/>
    <w:rsid w:val="00CF0179"/>
    <w:rsid w:val="00CF02A5"/>
    <w:rsid w:val="00CF02A8"/>
    <w:rsid w:val="00CF08C8"/>
    <w:rsid w:val="00CF0E75"/>
    <w:rsid w:val="00CF1536"/>
    <w:rsid w:val="00CF1890"/>
    <w:rsid w:val="00CF1CBC"/>
    <w:rsid w:val="00CF289B"/>
    <w:rsid w:val="00CF3A0E"/>
    <w:rsid w:val="00CF3BCB"/>
    <w:rsid w:val="00CF3FE3"/>
    <w:rsid w:val="00CF4BFA"/>
    <w:rsid w:val="00CF51AA"/>
    <w:rsid w:val="00CF57CE"/>
    <w:rsid w:val="00CF66E1"/>
    <w:rsid w:val="00CF6B14"/>
    <w:rsid w:val="00CF75B6"/>
    <w:rsid w:val="00D0067C"/>
    <w:rsid w:val="00D01968"/>
    <w:rsid w:val="00D022B5"/>
    <w:rsid w:val="00D02453"/>
    <w:rsid w:val="00D04268"/>
    <w:rsid w:val="00D048A3"/>
    <w:rsid w:val="00D05467"/>
    <w:rsid w:val="00D05791"/>
    <w:rsid w:val="00D05A32"/>
    <w:rsid w:val="00D05C0C"/>
    <w:rsid w:val="00D0662C"/>
    <w:rsid w:val="00D07CD4"/>
    <w:rsid w:val="00D1014E"/>
    <w:rsid w:val="00D106DA"/>
    <w:rsid w:val="00D10E9A"/>
    <w:rsid w:val="00D12049"/>
    <w:rsid w:val="00D124D9"/>
    <w:rsid w:val="00D13122"/>
    <w:rsid w:val="00D1345C"/>
    <w:rsid w:val="00D135C2"/>
    <w:rsid w:val="00D1580A"/>
    <w:rsid w:val="00D16834"/>
    <w:rsid w:val="00D170EA"/>
    <w:rsid w:val="00D1741E"/>
    <w:rsid w:val="00D174E0"/>
    <w:rsid w:val="00D179AA"/>
    <w:rsid w:val="00D20573"/>
    <w:rsid w:val="00D21CBC"/>
    <w:rsid w:val="00D2247D"/>
    <w:rsid w:val="00D2384D"/>
    <w:rsid w:val="00D239C3"/>
    <w:rsid w:val="00D23CB0"/>
    <w:rsid w:val="00D23DAF"/>
    <w:rsid w:val="00D24EF3"/>
    <w:rsid w:val="00D255DB"/>
    <w:rsid w:val="00D26002"/>
    <w:rsid w:val="00D26307"/>
    <w:rsid w:val="00D26774"/>
    <w:rsid w:val="00D27176"/>
    <w:rsid w:val="00D27AA1"/>
    <w:rsid w:val="00D27DB9"/>
    <w:rsid w:val="00D27E0E"/>
    <w:rsid w:val="00D305A2"/>
    <w:rsid w:val="00D31554"/>
    <w:rsid w:val="00D31623"/>
    <w:rsid w:val="00D31BFD"/>
    <w:rsid w:val="00D31EC4"/>
    <w:rsid w:val="00D31F3A"/>
    <w:rsid w:val="00D32604"/>
    <w:rsid w:val="00D335DB"/>
    <w:rsid w:val="00D34A2F"/>
    <w:rsid w:val="00D35522"/>
    <w:rsid w:val="00D373D3"/>
    <w:rsid w:val="00D37D3C"/>
    <w:rsid w:val="00D40903"/>
    <w:rsid w:val="00D40988"/>
    <w:rsid w:val="00D41345"/>
    <w:rsid w:val="00D42517"/>
    <w:rsid w:val="00D42A95"/>
    <w:rsid w:val="00D42C12"/>
    <w:rsid w:val="00D42F5D"/>
    <w:rsid w:val="00D4402C"/>
    <w:rsid w:val="00D449C6"/>
    <w:rsid w:val="00D44BAB"/>
    <w:rsid w:val="00D45084"/>
    <w:rsid w:val="00D454FB"/>
    <w:rsid w:val="00D470D9"/>
    <w:rsid w:val="00D472AD"/>
    <w:rsid w:val="00D472E6"/>
    <w:rsid w:val="00D50187"/>
    <w:rsid w:val="00D50831"/>
    <w:rsid w:val="00D514F8"/>
    <w:rsid w:val="00D51DEE"/>
    <w:rsid w:val="00D536AC"/>
    <w:rsid w:val="00D5448B"/>
    <w:rsid w:val="00D54D78"/>
    <w:rsid w:val="00D55B72"/>
    <w:rsid w:val="00D5626E"/>
    <w:rsid w:val="00D56859"/>
    <w:rsid w:val="00D56C0D"/>
    <w:rsid w:val="00D56D73"/>
    <w:rsid w:val="00D6060B"/>
    <w:rsid w:val="00D60D05"/>
    <w:rsid w:val="00D60D58"/>
    <w:rsid w:val="00D6238F"/>
    <w:rsid w:val="00D625A9"/>
    <w:rsid w:val="00D62AE0"/>
    <w:rsid w:val="00D631FF"/>
    <w:rsid w:val="00D63BB0"/>
    <w:rsid w:val="00D6610D"/>
    <w:rsid w:val="00D67D9A"/>
    <w:rsid w:val="00D701B7"/>
    <w:rsid w:val="00D70BE8"/>
    <w:rsid w:val="00D7113B"/>
    <w:rsid w:val="00D72078"/>
    <w:rsid w:val="00D72ADB"/>
    <w:rsid w:val="00D72DFA"/>
    <w:rsid w:val="00D737D0"/>
    <w:rsid w:val="00D737DF"/>
    <w:rsid w:val="00D75122"/>
    <w:rsid w:val="00D75485"/>
    <w:rsid w:val="00D75AD2"/>
    <w:rsid w:val="00D76DDD"/>
    <w:rsid w:val="00D80272"/>
    <w:rsid w:val="00D80B7B"/>
    <w:rsid w:val="00D80ECF"/>
    <w:rsid w:val="00D82994"/>
    <w:rsid w:val="00D829CE"/>
    <w:rsid w:val="00D83EA3"/>
    <w:rsid w:val="00D840A2"/>
    <w:rsid w:val="00D84349"/>
    <w:rsid w:val="00D8440C"/>
    <w:rsid w:val="00D84C0E"/>
    <w:rsid w:val="00D8548A"/>
    <w:rsid w:val="00D856AC"/>
    <w:rsid w:val="00D86433"/>
    <w:rsid w:val="00D8786D"/>
    <w:rsid w:val="00D87A4A"/>
    <w:rsid w:val="00D90BDE"/>
    <w:rsid w:val="00D921D6"/>
    <w:rsid w:val="00D929D7"/>
    <w:rsid w:val="00D9399B"/>
    <w:rsid w:val="00D953B2"/>
    <w:rsid w:val="00D95812"/>
    <w:rsid w:val="00D95B7A"/>
    <w:rsid w:val="00D96037"/>
    <w:rsid w:val="00D966FE"/>
    <w:rsid w:val="00D967E7"/>
    <w:rsid w:val="00D96B6C"/>
    <w:rsid w:val="00D96C41"/>
    <w:rsid w:val="00D96F34"/>
    <w:rsid w:val="00D973E6"/>
    <w:rsid w:val="00DA089C"/>
    <w:rsid w:val="00DA267B"/>
    <w:rsid w:val="00DA3FE6"/>
    <w:rsid w:val="00DA4A6E"/>
    <w:rsid w:val="00DA4C16"/>
    <w:rsid w:val="00DA4E9B"/>
    <w:rsid w:val="00DA4ECB"/>
    <w:rsid w:val="00DA511D"/>
    <w:rsid w:val="00DA5390"/>
    <w:rsid w:val="00DA53FE"/>
    <w:rsid w:val="00DA5599"/>
    <w:rsid w:val="00DA6CD3"/>
    <w:rsid w:val="00DA7A24"/>
    <w:rsid w:val="00DA7E63"/>
    <w:rsid w:val="00DB0510"/>
    <w:rsid w:val="00DB07A6"/>
    <w:rsid w:val="00DB0A72"/>
    <w:rsid w:val="00DB1176"/>
    <w:rsid w:val="00DB13C8"/>
    <w:rsid w:val="00DB142E"/>
    <w:rsid w:val="00DB18DE"/>
    <w:rsid w:val="00DB18E9"/>
    <w:rsid w:val="00DB1D48"/>
    <w:rsid w:val="00DB217F"/>
    <w:rsid w:val="00DB2BD4"/>
    <w:rsid w:val="00DB3762"/>
    <w:rsid w:val="00DB3EC4"/>
    <w:rsid w:val="00DB4925"/>
    <w:rsid w:val="00DB5337"/>
    <w:rsid w:val="00DB584C"/>
    <w:rsid w:val="00DB5A4D"/>
    <w:rsid w:val="00DB5C9D"/>
    <w:rsid w:val="00DB63D3"/>
    <w:rsid w:val="00DB7538"/>
    <w:rsid w:val="00DB7AEA"/>
    <w:rsid w:val="00DC0432"/>
    <w:rsid w:val="00DC1ABE"/>
    <w:rsid w:val="00DC1B35"/>
    <w:rsid w:val="00DC1C17"/>
    <w:rsid w:val="00DC1E9E"/>
    <w:rsid w:val="00DC2D50"/>
    <w:rsid w:val="00DC317C"/>
    <w:rsid w:val="00DC3B6F"/>
    <w:rsid w:val="00DC3D68"/>
    <w:rsid w:val="00DC3DCA"/>
    <w:rsid w:val="00DC60D0"/>
    <w:rsid w:val="00DC7907"/>
    <w:rsid w:val="00DC7A27"/>
    <w:rsid w:val="00DD029C"/>
    <w:rsid w:val="00DD03A9"/>
    <w:rsid w:val="00DD2324"/>
    <w:rsid w:val="00DD27AB"/>
    <w:rsid w:val="00DD2CD6"/>
    <w:rsid w:val="00DD316A"/>
    <w:rsid w:val="00DD335A"/>
    <w:rsid w:val="00DD4AA8"/>
    <w:rsid w:val="00DD51B0"/>
    <w:rsid w:val="00DD51D0"/>
    <w:rsid w:val="00DD52F3"/>
    <w:rsid w:val="00DD7181"/>
    <w:rsid w:val="00DE01BF"/>
    <w:rsid w:val="00DE031E"/>
    <w:rsid w:val="00DE0CA7"/>
    <w:rsid w:val="00DE12C3"/>
    <w:rsid w:val="00DE13C4"/>
    <w:rsid w:val="00DE180E"/>
    <w:rsid w:val="00DE1E78"/>
    <w:rsid w:val="00DE1E83"/>
    <w:rsid w:val="00DE1EBD"/>
    <w:rsid w:val="00DE2FEF"/>
    <w:rsid w:val="00DE3A8B"/>
    <w:rsid w:val="00DE3CB2"/>
    <w:rsid w:val="00DE668F"/>
    <w:rsid w:val="00DE6782"/>
    <w:rsid w:val="00DE6897"/>
    <w:rsid w:val="00DF0F50"/>
    <w:rsid w:val="00DF278F"/>
    <w:rsid w:val="00DF31CA"/>
    <w:rsid w:val="00DF35E0"/>
    <w:rsid w:val="00DF3EBD"/>
    <w:rsid w:val="00DF42BF"/>
    <w:rsid w:val="00DF4C3B"/>
    <w:rsid w:val="00DF538B"/>
    <w:rsid w:val="00DF5C97"/>
    <w:rsid w:val="00DF60DC"/>
    <w:rsid w:val="00DF6B49"/>
    <w:rsid w:val="00E0019A"/>
    <w:rsid w:val="00E00B5D"/>
    <w:rsid w:val="00E012D9"/>
    <w:rsid w:val="00E01572"/>
    <w:rsid w:val="00E01704"/>
    <w:rsid w:val="00E020DF"/>
    <w:rsid w:val="00E023C2"/>
    <w:rsid w:val="00E02A44"/>
    <w:rsid w:val="00E02F05"/>
    <w:rsid w:val="00E03398"/>
    <w:rsid w:val="00E0344F"/>
    <w:rsid w:val="00E03A35"/>
    <w:rsid w:val="00E042C8"/>
    <w:rsid w:val="00E04458"/>
    <w:rsid w:val="00E05A87"/>
    <w:rsid w:val="00E0609F"/>
    <w:rsid w:val="00E068FF"/>
    <w:rsid w:val="00E105E5"/>
    <w:rsid w:val="00E10710"/>
    <w:rsid w:val="00E1121A"/>
    <w:rsid w:val="00E11477"/>
    <w:rsid w:val="00E11855"/>
    <w:rsid w:val="00E11FA6"/>
    <w:rsid w:val="00E12299"/>
    <w:rsid w:val="00E12ECB"/>
    <w:rsid w:val="00E134D5"/>
    <w:rsid w:val="00E13A57"/>
    <w:rsid w:val="00E150CF"/>
    <w:rsid w:val="00E16AF4"/>
    <w:rsid w:val="00E16B62"/>
    <w:rsid w:val="00E17DCA"/>
    <w:rsid w:val="00E21035"/>
    <w:rsid w:val="00E21A7A"/>
    <w:rsid w:val="00E2216B"/>
    <w:rsid w:val="00E23AE9"/>
    <w:rsid w:val="00E23BC1"/>
    <w:rsid w:val="00E24C01"/>
    <w:rsid w:val="00E25452"/>
    <w:rsid w:val="00E30F29"/>
    <w:rsid w:val="00E31F8C"/>
    <w:rsid w:val="00E3228D"/>
    <w:rsid w:val="00E32319"/>
    <w:rsid w:val="00E3239D"/>
    <w:rsid w:val="00E32414"/>
    <w:rsid w:val="00E339C2"/>
    <w:rsid w:val="00E34173"/>
    <w:rsid w:val="00E343FF"/>
    <w:rsid w:val="00E36138"/>
    <w:rsid w:val="00E3751F"/>
    <w:rsid w:val="00E37630"/>
    <w:rsid w:val="00E378F3"/>
    <w:rsid w:val="00E37C11"/>
    <w:rsid w:val="00E418D2"/>
    <w:rsid w:val="00E43119"/>
    <w:rsid w:val="00E43808"/>
    <w:rsid w:val="00E4481A"/>
    <w:rsid w:val="00E45B5F"/>
    <w:rsid w:val="00E4714E"/>
    <w:rsid w:val="00E472D1"/>
    <w:rsid w:val="00E472F4"/>
    <w:rsid w:val="00E478F1"/>
    <w:rsid w:val="00E47A66"/>
    <w:rsid w:val="00E47F4F"/>
    <w:rsid w:val="00E50026"/>
    <w:rsid w:val="00E50930"/>
    <w:rsid w:val="00E50E3E"/>
    <w:rsid w:val="00E51775"/>
    <w:rsid w:val="00E54FDC"/>
    <w:rsid w:val="00E56282"/>
    <w:rsid w:val="00E57712"/>
    <w:rsid w:val="00E57B1E"/>
    <w:rsid w:val="00E613A2"/>
    <w:rsid w:val="00E61682"/>
    <w:rsid w:val="00E619C5"/>
    <w:rsid w:val="00E619C6"/>
    <w:rsid w:val="00E645E5"/>
    <w:rsid w:val="00E64F98"/>
    <w:rsid w:val="00E65048"/>
    <w:rsid w:val="00E65068"/>
    <w:rsid w:val="00E65A8C"/>
    <w:rsid w:val="00E66776"/>
    <w:rsid w:val="00E715F6"/>
    <w:rsid w:val="00E71F0F"/>
    <w:rsid w:val="00E724A0"/>
    <w:rsid w:val="00E72BB6"/>
    <w:rsid w:val="00E743B7"/>
    <w:rsid w:val="00E74E3E"/>
    <w:rsid w:val="00E75741"/>
    <w:rsid w:val="00E75ABD"/>
    <w:rsid w:val="00E76408"/>
    <w:rsid w:val="00E77878"/>
    <w:rsid w:val="00E80CFC"/>
    <w:rsid w:val="00E810D6"/>
    <w:rsid w:val="00E81BC9"/>
    <w:rsid w:val="00E82208"/>
    <w:rsid w:val="00E8239D"/>
    <w:rsid w:val="00E826F0"/>
    <w:rsid w:val="00E83088"/>
    <w:rsid w:val="00E83DC8"/>
    <w:rsid w:val="00E849FA"/>
    <w:rsid w:val="00E84C3F"/>
    <w:rsid w:val="00E85878"/>
    <w:rsid w:val="00E85F97"/>
    <w:rsid w:val="00E85FE7"/>
    <w:rsid w:val="00E868F1"/>
    <w:rsid w:val="00E86A27"/>
    <w:rsid w:val="00E86FEE"/>
    <w:rsid w:val="00E87B30"/>
    <w:rsid w:val="00E87F50"/>
    <w:rsid w:val="00E91534"/>
    <w:rsid w:val="00E91C50"/>
    <w:rsid w:val="00E91F30"/>
    <w:rsid w:val="00E92039"/>
    <w:rsid w:val="00E92C10"/>
    <w:rsid w:val="00E93525"/>
    <w:rsid w:val="00E940AE"/>
    <w:rsid w:val="00E95127"/>
    <w:rsid w:val="00E965E3"/>
    <w:rsid w:val="00E97CEC"/>
    <w:rsid w:val="00EA088A"/>
    <w:rsid w:val="00EA0ED3"/>
    <w:rsid w:val="00EA11C0"/>
    <w:rsid w:val="00EA1239"/>
    <w:rsid w:val="00EA1A6F"/>
    <w:rsid w:val="00EA3213"/>
    <w:rsid w:val="00EA5355"/>
    <w:rsid w:val="00EA7511"/>
    <w:rsid w:val="00EA7D21"/>
    <w:rsid w:val="00EB00E9"/>
    <w:rsid w:val="00EB036E"/>
    <w:rsid w:val="00EB0A73"/>
    <w:rsid w:val="00EB0FAB"/>
    <w:rsid w:val="00EB1E2C"/>
    <w:rsid w:val="00EB2147"/>
    <w:rsid w:val="00EB24A5"/>
    <w:rsid w:val="00EB3654"/>
    <w:rsid w:val="00EB4461"/>
    <w:rsid w:val="00EB4FEA"/>
    <w:rsid w:val="00EB56BF"/>
    <w:rsid w:val="00EB5B4D"/>
    <w:rsid w:val="00EB60BD"/>
    <w:rsid w:val="00EB6142"/>
    <w:rsid w:val="00EB6380"/>
    <w:rsid w:val="00EB791A"/>
    <w:rsid w:val="00EC0AD8"/>
    <w:rsid w:val="00EC11C6"/>
    <w:rsid w:val="00EC1CE0"/>
    <w:rsid w:val="00EC2FE4"/>
    <w:rsid w:val="00EC33DD"/>
    <w:rsid w:val="00EC352B"/>
    <w:rsid w:val="00EC3E2F"/>
    <w:rsid w:val="00EC49A1"/>
    <w:rsid w:val="00EC4FB0"/>
    <w:rsid w:val="00EC56A7"/>
    <w:rsid w:val="00EC7010"/>
    <w:rsid w:val="00EC7A9B"/>
    <w:rsid w:val="00ED0F4E"/>
    <w:rsid w:val="00ED11AA"/>
    <w:rsid w:val="00ED11BE"/>
    <w:rsid w:val="00ED29D0"/>
    <w:rsid w:val="00ED3AAC"/>
    <w:rsid w:val="00ED46A6"/>
    <w:rsid w:val="00ED5471"/>
    <w:rsid w:val="00ED6A3C"/>
    <w:rsid w:val="00ED70D0"/>
    <w:rsid w:val="00ED718F"/>
    <w:rsid w:val="00ED7B40"/>
    <w:rsid w:val="00EE0830"/>
    <w:rsid w:val="00EE1041"/>
    <w:rsid w:val="00EE10E0"/>
    <w:rsid w:val="00EE1E78"/>
    <w:rsid w:val="00EE2CE1"/>
    <w:rsid w:val="00EE30F7"/>
    <w:rsid w:val="00EE34BA"/>
    <w:rsid w:val="00EE3583"/>
    <w:rsid w:val="00EE42DF"/>
    <w:rsid w:val="00EE555A"/>
    <w:rsid w:val="00EE5657"/>
    <w:rsid w:val="00EE580C"/>
    <w:rsid w:val="00EE58FB"/>
    <w:rsid w:val="00EE5C09"/>
    <w:rsid w:val="00EE73D3"/>
    <w:rsid w:val="00EE762A"/>
    <w:rsid w:val="00EE78CE"/>
    <w:rsid w:val="00EF08D4"/>
    <w:rsid w:val="00EF1CD0"/>
    <w:rsid w:val="00EF3FDD"/>
    <w:rsid w:val="00EF40C7"/>
    <w:rsid w:val="00EF5F0C"/>
    <w:rsid w:val="00EF7193"/>
    <w:rsid w:val="00EF78C0"/>
    <w:rsid w:val="00F03E82"/>
    <w:rsid w:val="00F0402B"/>
    <w:rsid w:val="00F04EB8"/>
    <w:rsid w:val="00F06455"/>
    <w:rsid w:val="00F0773C"/>
    <w:rsid w:val="00F07C45"/>
    <w:rsid w:val="00F10A9B"/>
    <w:rsid w:val="00F1229D"/>
    <w:rsid w:val="00F13503"/>
    <w:rsid w:val="00F13DD6"/>
    <w:rsid w:val="00F1408B"/>
    <w:rsid w:val="00F1505C"/>
    <w:rsid w:val="00F15963"/>
    <w:rsid w:val="00F16097"/>
    <w:rsid w:val="00F16354"/>
    <w:rsid w:val="00F165C1"/>
    <w:rsid w:val="00F178B9"/>
    <w:rsid w:val="00F17C2F"/>
    <w:rsid w:val="00F2028D"/>
    <w:rsid w:val="00F207B2"/>
    <w:rsid w:val="00F214A1"/>
    <w:rsid w:val="00F21F8E"/>
    <w:rsid w:val="00F23529"/>
    <w:rsid w:val="00F23F99"/>
    <w:rsid w:val="00F24237"/>
    <w:rsid w:val="00F247D5"/>
    <w:rsid w:val="00F26A28"/>
    <w:rsid w:val="00F26B66"/>
    <w:rsid w:val="00F26E7C"/>
    <w:rsid w:val="00F278C8"/>
    <w:rsid w:val="00F279BB"/>
    <w:rsid w:val="00F27DA4"/>
    <w:rsid w:val="00F302CB"/>
    <w:rsid w:val="00F30757"/>
    <w:rsid w:val="00F30BA9"/>
    <w:rsid w:val="00F31222"/>
    <w:rsid w:val="00F31FF2"/>
    <w:rsid w:val="00F322AE"/>
    <w:rsid w:val="00F3231F"/>
    <w:rsid w:val="00F32354"/>
    <w:rsid w:val="00F339D4"/>
    <w:rsid w:val="00F33C97"/>
    <w:rsid w:val="00F33E5A"/>
    <w:rsid w:val="00F34548"/>
    <w:rsid w:val="00F34581"/>
    <w:rsid w:val="00F352C7"/>
    <w:rsid w:val="00F355A2"/>
    <w:rsid w:val="00F35A0C"/>
    <w:rsid w:val="00F35DA3"/>
    <w:rsid w:val="00F35F08"/>
    <w:rsid w:val="00F365FA"/>
    <w:rsid w:val="00F371D7"/>
    <w:rsid w:val="00F37A08"/>
    <w:rsid w:val="00F37BC8"/>
    <w:rsid w:val="00F4220B"/>
    <w:rsid w:val="00F42D4C"/>
    <w:rsid w:val="00F431BA"/>
    <w:rsid w:val="00F43ECE"/>
    <w:rsid w:val="00F45B89"/>
    <w:rsid w:val="00F46C51"/>
    <w:rsid w:val="00F46E99"/>
    <w:rsid w:val="00F4705C"/>
    <w:rsid w:val="00F50155"/>
    <w:rsid w:val="00F50939"/>
    <w:rsid w:val="00F50B83"/>
    <w:rsid w:val="00F51B90"/>
    <w:rsid w:val="00F51DF3"/>
    <w:rsid w:val="00F530E6"/>
    <w:rsid w:val="00F534D1"/>
    <w:rsid w:val="00F53AEB"/>
    <w:rsid w:val="00F53EBB"/>
    <w:rsid w:val="00F54411"/>
    <w:rsid w:val="00F54943"/>
    <w:rsid w:val="00F54A80"/>
    <w:rsid w:val="00F54DBB"/>
    <w:rsid w:val="00F54F7C"/>
    <w:rsid w:val="00F56211"/>
    <w:rsid w:val="00F57647"/>
    <w:rsid w:val="00F6012D"/>
    <w:rsid w:val="00F60EFA"/>
    <w:rsid w:val="00F60FC4"/>
    <w:rsid w:val="00F61260"/>
    <w:rsid w:val="00F616E9"/>
    <w:rsid w:val="00F61A70"/>
    <w:rsid w:val="00F62998"/>
    <w:rsid w:val="00F62B56"/>
    <w:rsid w:val="00F634E1"/>
    <w:rsid w:val="00F63854"/>
    <w:rsid w:val="00F64340"/>
    <w:rsid w:val="00F668C5"/>
    <w:rsid w:val="00F66DFA"/>
    <w:rsid w:val="00F676FE"/>
    <w:rsid w:val="00F70973"/>
    <w:rsid w:val="00F70E25"/>
    <w:rsid w:val="00F70E35"/>
    <w:rsid w:val="00F70EB1"/>
    <w:rsid w:val="00F73193"/>
    <w:rsid w:val="00F74F21"/>
    <w:rsid w:val="00F750A3"/>
    <w:rsid w:val="00F7526B"/>
    <w:rsid w:val="00F7536B"/>
    <w:rsid w:val="00F759ED"/>
    <w:rsid w:val="00F761B3"/>
    <w:rsid w:val="00F7652C"/>
    <w:rsid w:val="00F7717E"/>
    <w:rsid w:val="00F80078"/>
    <w:rsid w:val="00F803E8"/>
    <w:rsid w:val="00F8076B"/>
    <w:rsid w:val="00F81287"/>
    <w:rsid w:val="00F8170F"/>
    <w:rsid w:val="00F825DC"/>
    <w:rsid w:val="00F832E9"/>
    <w:rsid w:val="00F835A1"/>
    <w:rsid w:val="00F84295"/>
    <w:rsid w:val="00F84E21"/>
    <w:rsid w:val="00F86B1A"/>
    <w:rsid w:val="00F86D99"/>
    <w:rsid w:val="00F908A0"/>
    <w:rsid w:val="00F90B28"/>
    <w:rsid w:val="00F90F2F"/>
    <w:rsid w:val="00F913E2"/>
    <w:rsid w:val="00F91B01"/>
    <w:rsid w:val="00F92248"/>
    <w:rsid w:val="00F93122"/>
    <w:rsid w:val="00F93498"/>
    <w:rsid w:val="00F9419E"/>
    <w:rsid w:val="00F946D5"/>
    <w:rsid w:val="00F94A52"/>
    <w:rsid w:val="00F9587B"/>
    <w:rsid w:val="00F96718"/>
    <w:rsid w:val="00F96DBE"/>
    <w:rsid w:val="00F96EA0"/>
    <w:rsid w:val="00F97A62"/>
    <w:rsid w:val="00FA3310"/>
    <w:rsid w:val="00FA34F3"/>
    <w:rsid w:val="00FA387B"/>
    <w:rsid w:val="00FA4D44"/>
    <w:rsid w:val="00FA4D84"/>
    <w:rsid w:val="00FA4F67"/>
    <w:rsid w:val="00FA52A0"/>
    <w:rsid w:val="00FA6607"/>
    <w:rsid w:val="00FA6716"/>
    <w:rsid w:val="00FA70F6"/>
    <w:rsid w:val="00FA77F4"/>
    <w:rsid w:val="00FA7D51"/>
    <w:rsid w:val="00FB001D"/>
    <w:rsid w:val="00FB07D2"/>
    <w:rsid w:val="00FB09D3"/>
    <w:rsid w:val="00FB0B24"/>
    <w:rsid w:val="00FB1444"/>
    <w:rsid w:val="00FB1A60"/>
    <w:rsid w:val="00FB36D9"/>
    <w:rsid w:val="00FB3A02"/>
    <w:rsid w:val="00FB3FEA"/>
    <w:rsid w:val="00FB40B9"/>
    <w:rsid w:val="00FB51B2"/>
    <w:rsid w:val="00FB6626"/>
    <w:rsid w:val="00FB7B09"/>
    <w:rsid w:val="00FC0659"/>
    <w:rsid w:val="00FC080E"/>
    <w:rsid w:val="00FC2134"/>
    <w:rsid w:val="00FC2B2A"/>
    <w:rsid w:val="00FC3111"/>
    <w:rsid w:val="00FC3673"/>
    <w:rsid w:val="00FC377E"/>
    <w:rsid w:val="00FC4F9E"/>
    <w:rsid w:val="00FC5376"/>
    <w:rsid w:val="00FC5DF4"/>
    <w:rsid w:val="00FC61B8"/>
    <w:rsid w:val="00FC620F"/>
    <w:rsid w:val="00FC6A1E"/>
    <w:rsid w:val="00FC6CD1"/>
    <w:rsid w:val="00FD0473"/>
    <w:rsid w:val="00FD0A78"/>
    <w:rsid w:val="00FD0BED"/>
    <w:rsid w:val="00FD179F"/>
    <w:rsid w:val="00FD1F4E"/>
    <w:rsid w:val="00FD28C4"/>
    <w:rsid w:val="00FD2A5F"/>
    <w:rsid w:val="00FD443A"/>
    <w:rsid w:val="00FD4828"/>
    <w:rsid w:val="00FD4920"/>
    <w:rsid w:val="00FD54EE"/>
    <w:rsid w:val="00FD5617"/>
    <w:rsid w:val="00FD5659"/>
    <w:rsid w:val="00FD6B3C"/>
    <w:rsid w:val="00FD791A"/>
    <w:rsid w:val="00FD7D07"/>
    <w:rsid w:val="00FE11E1"/>
    <w:rsid w:val="00FE2465"/>
    <w:rsid w:val="00FE287E"/>
    <w:rsid w:val="00FE28C7"/>
    <w:rsid w:val="00FE3330"/>
    <w:rsid w:val="00FE4DD1"/>
    <w:rsid w:val="00FE5307"/>
    <w:rsid w:val="00FE5745"/>
    <w:rsid w:val="00FE5B11"/>
    <w:rsid w:val="00FE723D"/>
    <w:rsid w:val="00FE7F85"/>
    <w:rsid w:val="00FF0B9D"/>
    <w:rsid w:val="00FF0FB6"/>
    <w:rsid w:val="00FF145A"/>
    <w:rsid w:val="00FF190F"/>
    <w:rsid w:val="00FF21CB"/>
    <w:rsid w:val="00FF22AB"/>
    <w:rsid w:val="00FF2A77"/>
    <w:rsid w:val="00FF2F0C"/>
    <w:rsid w:val="00FF2F50"/>
    <w:rsid w:val="00FF3571"/>
    <w:rsid w:val="00FF3F5A"/>
    <w:rsid w:val="00FF4685"/>
    <w:rsid w:val="00FF4778"/>
    <w:rsid w:val="00FF4FD9"/>
    <w:rsid w:val="00FF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99"/>
    <w:rsid w:val="009C552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6228">
      <w:bodyDiv w:val="1"/>
      <w:marLeft w:val="0"/>
      <w:marRight w:val="0"/>
      <w:marTop w:val="0"/>
      <w:marBottom w:val="0"/>
      <w:divBdr>
        <w:top w:val="none" w:sz="0" w:space="0" w:color="auto"/>
        <w:left w:val="none" w:sz="0" w:space="0" w:color="auto"/>
        <w:bottom w:val="none" w:sz="0" w:space="0" w:color="auto"/>
        <w:right w:val="none" w:sz="0" w:space="0" w:color="auto"/>
      </w:divBdr>
    </w:div>
    <w:div w:id="671110393">
      <w:bodyDiv w:val="1"/>
      <w:marLeft w:val="0"/>
      <w:marRight w:val="0"/>
      <w:marTop w:val="0"/>
      <w:marBottom w:val="0"/>
      <w:divBdr>
        <w:top w:val="none" w:sz="0" w:space="0" w:color="auto"/>
        <w:left w:val="none" w:sz="0" w:space="0" w:color="auto"/>
        <w:bottom w:val="none" w:sz="0" w:space="0" w:color="auto"/>
        <w:right w:val="none" w:sz="0" w:space="0" w:color="auto"/>
      </w:divBdr>
    </w:div>
    <w:div w:id="685794712">
      <w:bodyDiv w:val="1"/>
      <w:marLeft w:val="0"/>
      <w:marRight w:val="0"/>
      <w:marTop w:val="0"/>
      <w:marBottom w:val="0"/>
      <w:divBdr>
        <w:top w:val="none" w:sz="0" w:space="0" w:color="auto"/>
        <w:left w:val="none" w:sz="0" w:space="0" w:color="auto"/>
        <w:bottom w:val="none" w:sz="0" w:space="0" w:color="auto"/>
        <w:right w:val="none" w:sz="0" w:space="0" w:color="auto"/>
      </w:divBdr>
    </w:div>
    <w:div w:id="1000735372">
      <w:bodyDiv w:val="1"/>
      <w:marLeft w:val="0"/>
      <w:marRight w:val="0"/>
      <w:marTop w:val="0"/>
      <w:marBottom w:val="0"/>
      <w:divBdr>
        <w:top w:val="none" w:sz="0" w:space="0" w:color="auto"/>
        <w:left w:val="none" w:sz="0" w:space="0" w:color="auto"/>
        <w:bottom w:val="none" w:sz="0" w:space="0" w:color="auto"/>
        <w:right w:val="none" w:sz="0" w:space="0" w:color="auto"/>
      </w:divBdr>
    </w:div>
    <w:div w:id="11201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3.jpeg"/><Relationship Id="rId26" Type="http://schemas.openxmlformats.org/officeDocument/2006/relationships/chart" Target="charts/chart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yandex.ru/images/search?source=wiz&amp;img_url=https://st.depositphotos.com/1079068/4031/i/950/depositphotos_40312965-stock-photo-business-graph-down.jpg&amp;p=22&amp;text=%D0%BA%D0%B0%D1%80%D1%82%D0%B8%D0%BD%D0%BA%D0%B8%20%D1%80%D0%BE%D1%81%D1%82%20%D0%B8%20%D1%81%D0%BD%D0%B8%D0%B6%D0%B5%D0%BD%D0%B8%D0%B5%20%D0%BF%D1%80%D0%BE%D0%BC%D1%8B%D1%88%D0%BB%D0%B5%D0%BD%D0%BD%D0%BE%D0%B3%D0%BE%20%D0%BF%D1%80%D0%BE%D0%B8%D0%B7%D0%B2%D0%BE%D0%B4%D1%81%D1%82%D0%B2%D0%B0&amp;noreask=1&amp;pos=680&amp;rpt=simage&amp;lr=14"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oleObject" Target="embeddings/oleObject1.bin"/><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chart" Target="charts/chart12.xm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yandex.ru/images/search?source=wiz&amp;img_url=http://vesco-consulting.ru/wp-content/uploads/2014/11/11.jpg&amp;p=17&amp;text=%D0%BA%D0%B0%D1%80%D1%82%D0%B8%D0%BD%D0%BA%D0%B8%20%D1%80%D0%BE%D1%81%D1%82%20%D0%B8%20%D1%81%D0%BD%D0%B8%D0%B6%D0%B5%D0%BD%D0%B8%D0%B5%20%D0%BF%D1%80%D0%BE%D0%BC%D1%8B%D1%88%D0%BB%D0%B5%D0%BD%D0%BD%D0%BE%D0%B3%D0%BE%20%D0%BF%D1%80%D0%BE%D0%B8%D0%B7%D0%B2%D0%BE%D0%B4%D1%81%D1%82%D0%B2%D0%B0&amp;noreask=1&amp;pos=512&amp;rpt=simage&amp;lr=14" TargetMode="External"/><Relationship Id="rId23" Type="http://schemas.openxmlformats.org/officeDocument/2006/relationships/hyperlink" Target="https://yandex.ru/images/search?p=2&amp;text=%D0%B3%D0%B0%D0%BB%D0%BE%D1%87%D0%BA%D0%B0%20%D0%BA%D0%B0%D1%80%D1%82%D0%B8%D0%BD%D0%BA%D0%B0&amp;img_url=https://thumbs.dreamstime.com/z/3d-check-mark-14224077.jpg&amp;pos=77&amp;rpt=simage" TargetMode="External"/><Relationship Id="rId28" Type="http://schemas.openxmlformats.org/officeDocument/2006/relationships/chart" Target="charts/chart8.xml"/><Relationship Id="rId36" Type="http://schemas.openxmlformats.org/officeDocument/2006/relationships/footer" Target="footer1.xml"/><Relationship Id="rId10" Type="http://schemas.openxmlformats.org/officeDocument/2006/relationships/hyperlink" Target="https://yandex.ru/images/search?source=wiz&amp;img_url=https://media.istockphoto.com/photos/blue-3d-check-mark-picture-id186872718&amp;p=6&amp;text=%D0%B3%D0%B0%D0%BB%D0%BE%D1%87%D0%BA%D0%B8%20%D0%BA%D0%B0%D1%80%D1%82%D0%B8%D0%BD%D0%BA%D0%B8&amp;noreask=1&amp;pos=202&amp;rpt=simage&amp;lr=14&amp;family=yes" TargetMode="External"/><Relationship Id="rId19" Type="http://schemas.openxmlformats.org/officeDocument/2006/relationships/image" Target="media/image4.emf"/><Relationship Id="rId31"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6.jpeg"/><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3.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436414731435024E-2"/>
          <c:y val="2.5485805100050569E-2"/>
          <c:w val="0.94310766798659684"/>
          <c:h val="0.87715954451006128"/>
        </c:manualLayout>
      </c:layout>
      <c:lineChart>
        <c:grouping val="standard"/>
        <c:varyColors val="0"/>
        <c:ser>
          <c:idx val="1"/>
          <c:order val="0"/>
          <c:tx>
            <c:strRef>
              <c:f>Sheet1!$B$1</c:f>
              <c:strCache>
                <c:ptCount val="1"/>
                <c:pt idx="0">
                  <c:v>Прогноз среднегодовой численности населения города Твери на период до 2021 года тыс. человек</c:v>
                </c:pt>
              </c:strCache>
            </c:strRef>
          </c:tx>
          <c:spPr>
            <a:ln w="25400">
              <a:solidFill>
                <a:srgbClr val="4F81BD">
                  <a:lumMod val="75000"/>
                </a:srgbClr>
              </a:solidFill>
              <a:prstDash val="sysDot"/>
            </a:ln>
            <a:effectLst/>
          </c:spPr>
          <c:marker>
            <c:symbol val="square"/>
            <c:size val="37"/>
            <c:spPr>
              <a:solidFill>
                <a:srgbClr val="4F81BD">
                  <a:lumMod val="40000"/>
                  <a:lumOff val="60000"/>
                  <a:alpha val="69000"/>
                </a:srgbClr>
              </a:solidFill>
              <a:ln w="15875">
                <a:solidFill>
                  <a:srgbClr val="4F81BD">
                    <a:lumMod val="40000"/>
                    <a:lumOff val="60000"/>
                  </a:srgbClr>
                </a:solidFill>
                <a:prstDash val="sysDot"/>
              </a:ln>
              <a:effectLst/>
              <a:scene3d>
                <a:camera prst="orthographicFront"/>
                <a:lightRig rig="soft" dir="t"/>
              </a:scene3d>
              <a:sp3d prstMaterial="dkEdge">
                <a:bevelT/>
                <a:bevelB/>
              </a:sp3d>
            </c:spPr>
          </c:marker>
          <c:dLbls>
            <c:dLbl>
              <c:idx val="0"/>
              <c:layout>
                <c:manualLayout>
                  <c:x val="-7.6113207379598133E-2"/>
                  <c:y val="-1.2634739222204916E-3"/>
                </c:manualLayout>
              </c:layout>
              <c:dLblPos val="r"/>
              <c:showLegendKey val="0"/>
              <c:showVal val="1"/>
              <c:showCatName val="0"/>
              <c:showSerName val="0"/>
              <c:showPercent val="0"/>
              <c:showBubbleSize val="0"/>
            </c:dLbl>
            <c:dLbl>
              <c:idx val="1"/>
              <c:layout>
                <c:manualLayout>
                  <c:x val="-7.3956637692486296E-2"/>
                  <c:y val="-2.8957407994213892E-4"/>
                </c:manualLayout>
              </c:layout>
              <c:dLblPos val="r"/>
              <c:showLegendKey val="0"/>
              <c:showVal val="1"/>
              <c:showCatName val="0"/>
              <c:showSerName val="0"/>
              <c:showPercent val="0"/>
              <c:showBubbleSize val="0"/>
            </c:dLbl>
            <c:dLbl>
              <c:idx val="2"/>
              <c:layout>
                <c:manualLayout>
                  <c:x val="-7.0849891802824846E-2"/>
                  <c:y val="2.2576297478718176E-3"/>
                </c:manualLayout>
              </c:layout>
              <c:dLblPos val="r"/>
              <c:showLegendKey val="0"/>
              <c:showVal val="1"/>
              <c:showCatName val="0"/>
              <c:showSerName val="0"/>
              <c:showPercent val="0"/>
              <c:showBubbleSize val="0"/>
            </c:dLbl>
            <c:dLbl>
              <c:idx val="3"/>
              <c:layout>
                <c:manualLayout>
                  <c:x val="-7.2476949857455147E-2"/>
                  <c:y val="-6.9027836707072771E-3"/>
                </c:manualLayout>
              </c:layout>
              <c:dLblPos val="r"/>
              <c:showLegendKey val="0"/>
              <c:showVal val="1"/>
              <c:showCatName val="0"/>
              <c:showSerName val="0"/>
              <c:showPercent val="0"/>
              <c:showBubbleSize val="0"/>
            </c:dLbl>
            <c:dLbl>
              <c:idx val="4"/>
              <c:layout>
                <c:manualLayout>
                  <c:x val="-7.5813622136256892E-2"/>
                  <c:y val="9.5375945031947137E-4"/>
                </c:manualLayout>
              </c:layout>
              <c:dLblPos val="r"/>
              <c:showLegendKey val="0"/>
              <c:showVal val="1"/>
              <c:showCatName val="0"/>
              <c:showSerName val="0"/>
              <c:showPercent val="0"/>
              <c:showBubbleSize val="0"/>
            </c:dLbl>
            <c:dLbl>
              <c:idx val="5"/>
              <c:layout>
                <c:manualLayout>
                  <c:x val="-7.184685258391918E-2"/>
                  <c:y val="7.7834068673571372E-3"/>
                </c:manualLayout>
              </c:layout>
              <c:dLblPos val="r"/>
              <c:showLegendKey val="0"/>
              <c:showVal val="1"/>
              <c:showCatName val="0"/>
              <c:showSerName val="0"/>
              <c:showPercent val="0"/>
              <c:showBubbleSize val="0"/>
            </c:dLbl>
            <c:dLbl>
              <c:idx val="6"/>
              <c:layout>
                <c:manualLayout>
                  <c:x val="-7.6538875348432386E-2"/>
                  <c:y val="6.1101473560588827E-3"/>
                </c:manualLayout>
              </c:layout>
              <c:dLblPos val="r"/>
              <c:showLegendKey val="0"/>
              <c:showVal val="1"/>
              <c:showCatName val="0"/>
              <c:showSerName val="0"/>
              <c:showPercent val="0"/>
              <c:showBubbleSize val="0"/>
            </c:dLbl>
            <c:dLbl>
              <c:idx val="7"/>
              <c:layout>
                <c:manualLayout>
                  <c:x val="-2.8598979315940968E-2"/>
                  <c:y val="2.602114738563077E-3"/>
                </c:manualLayout>
              </c:layout>
              <c:dLblPos val="r"/>
              <c:showLegendKey val="0"/>
              <c:showVal val="1"/>
              <c:showCatName val="0"/>
              <c:showSerName val="0"/>
              <c:showPercent val="0"/>
              <c:showBubbleSize val="0"/>
            </c:dLbl>
            <c:dLbl>
              <c:idx val="8"/>
              <c:layout>
                <c:manualLayout>
                  <c:x val="-2.0684579757503974E-2"/>
                  <c:y val="1.240922434247841E-2"/>
                </c:manualLayout>
              </c:layout>
              <c:dLblPos val="r"/>
              <c:showLegendKey val="0"/>
              <c:showVal val="1"/>
              <c:showCatName val="0"/>
              <c:showSerName val="0"/>
              <c:showPercent val="0"/>
              <c:showBubbleSize val="0"/>
            </c:dLbl>
            <c:dLbl>
              <c:idx val="9"/>
              <c:layout>
                <c:manualLayout>
                  <c:x val="-0.12402517736217746"/>
                  <c:y val="5.1540742858005147E-2"/>
                </c:manualLayout>
              </c:layout>
              <c:dLblPos val="r"/>
              <c:showLegendKey val="0"/>
              <c:showVal val="1"/>
              <c:showCatName val="0"/>
              <c:showSerName val="0"/>
              <c:showPercent val="0"/>
              <c:showBubbleSize val="0"/>
            </c:dLbl>
            <c:dLbl>
              <c:idx val="10"/>
              <c:layout>
                <c:manualLayout>
                  <c:x val="-4.0187525901422903E-2"/>
                  <c:y val="0.2170106320642585"/>
                </c:manualLayout>
              </c:layout>
              <c:dLblPos val="r"/>
              <c:showLegendKey val="0"/>
              <c:showVal val="1"/>
              <c:showCatName val="0"/>
              <c:showSerName val="0"/>
              <c:showPercent val="0"/>
              <c:showBubbleSize val="0"/>
            </c:dLbl>
            <c:dLbl>
              <c:idx val="11"/>
              <c:layout>
                <c:manualLayout>
                  <c:xMode val="edge"/>
                  <c:yMode val="edge"/>
                  <c:x val="0.99687010954616584"/>
                  <c:y val="0.26461538461538464"/>
                </c:manualLayout>
              </c:layout>
              <c:dLblPos val="r"/>
              <c:showLegendKey val="0"/>
              <c:showVal val="1"/>
              <c:showCatName val="0"/>
              <c:showSerName val="0"/>
              <c:showPercent val="0"/>
              <c:showBubbleSize val="0"/>
            </c:dLbl>
            <c:numFmt formatCode="#,##0.0" sourceLinked="0"/>
            <c:spPr>
              <a:noFill/>
              <a:ln w="25380">
                <a:noFill/>
              </a:ln>
              <a:effectLst>
                <a:outerShdw blurRad="76200" dir="18900000" sy="23000" kx="-1200000" algn="bl" rotWithShape="0">
                  <a:prstClr val="black">
                    <a:alpha val="20000"/>
                  </a:prstClr>
                </a:outerShdw>
              </a:effectLst>
            </c:spPr>
            <c:txPr>
              <a:bodyPr/>
              <a:lstStyle/>
              <a:p>
                <a:pPr>
                  <a:defRPr sz="1100" b="1">
                    <a:solidFill>
                      <a:sysClr val="windowText" lastClr="000000"/>
                    </a:solidFill>
                    <a:effectLst/>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Sheet1!$A$2:$A$9</c:f>
              <c:strCache>
                <c:ptCount val="8"/>
                <c:pt idx="0">
                  <c:v>2018</c:v>
                </c:pt>
                <c:pt idx="1">
                  <c:v>2019 оценка</c:v>
                </c:pt>
                <c:pt idx="2">
                  <c:v>2020 прогноз</c:v>
                </c:pt>
                <c:pt idx="3">
                  <c:v>2021 прогноз</c:v>
                </c:pt>
                <c:pt idx="4">
                  <c:v>2022 прогноз</c:v>
                </c:pt>
                <c:pt idx="5">
                  <c:v>2023 прогноз</c:v>
                </c:pt>
                <c:pt idx="6">
                  <c:v>2024 прогноз</c:v>
                </c:pt>
                <c:pt idx="7">
                  <c:v>2025 прогноз</c:v>
                </c:pt>
              </c:strCache>
            </c:strRef>
          </c:cat>
          <c:val>
            <c:numRef>
              <c:f>Sheet1!$B$2:$B$9</c:f>
              <c:numCache>
                <c:formatCode>General</c:formatCode>
                <c:ptCount val="8"/>
                <c:pt idx="0">
                  <c:v>420.45</c:v>
                </c:pt>
                <c:pt idx="1">
                  <c:v>421.5</c:v>
                </c:pt>
                <c:pt idx="2">
                  <c:v>422.8</c:v>
                </c:pt>
                <c:pt idx="3">
                  <c:v>424.4</c:v>
                </c:pt>
                <c:pt idx="4">
                  <c:v>426.3</c:v>
                </c:pt>
                <c:pt idx="5">
                  <c:v>428.3</c:v>
                </c:pt>
                <c:pt idx="6">
                  <c:v>430.4</c:v>
                </c:pt>
                <c:pt idx="7">
                  <c:v>432.7</c:v>
                </c:pt>
              </c:numCache>
            </c:numRef>
          </c:val>
          <c:smooth val="0"/>
        </c:ser>
        <c:dLbls>
          <c:showLegendKey val="0"/>
          <c:showVal val="1"/>
          <c:showCatName val="0"/>
          <c:showSerName val="0"/>
          <c:showPercent val="0"/>
          <c:showBubbleSize val="0"/>
        </c:dLbls>
        <c:marker val="1"/>
        <c:smooth val="0"/>
        <c:axId val="177057152"/>
        <c:axId val="193107840"/>
      </c:lineChart>
      <c:catAx>
        <c:axId val="177057152"/>
        <c:scaling>
          <c:orientation val="minMax"/>
        </c:scaling>
        <c:delete val="0"/>
        <c:axPos val="b"/>
        <c:numFmt formatCode="General" sourceLinked="1"/>
        <c:majorTickMark val="cross"/>
        <c:minorTickMark val="none"/>
        <c:tickLblPos val="nextTo"/>
        <c:spPr>
          <a:ln w="12690">
            <a:solidFill>
              <a:srgbClr val="000000"/>
            </a:solidFill>
            <a:prstDash val="solid"/>
          </a:ln>
        </c:spPr>
        <c:txPr>
          <a:bodyPr rot="0" vert="horz"/>
          <a:lstStyle/>
          <a:p>
            <a:pPr>
              <a:defRPr sz="900" b="0">
                <a:solidFill>
                  <a:sysClr val="windowText" lastClr="000000"/>
                </a:solidFill>
                <a:latin typeface="Times New Roman" pitchFamily="18" charset="0"/>
                <a:cs typeface="Times New Roman" pitchFamily="18" charset="0"/>
              </a:defRPr>
            </a:pPr>
            <a:endParaRPr lang="ru-RU"/>
          </a:p>
        </c:txPr>
        <c:crossAx val="193107840"/>
        <c:crosses val="autoZero"/>
        <c:auto val="0"/>
        <c:lblAlgn val="ctr"/>
        <c:lblOffset val="100"/>
        <c:tickLblSkip val="1"/>
        <c:tickMarkSkip val="1"/>
        <c:noMultiLvlLbl val="0"/>
      </c:catAx>
      <c:valAx>
        <c:axId val="193107840"/>
        <c:scaling>
          <c:orientation val="minMax"/>
          <c:max val="435"/>
          <c:min val="415"/>
        </c:scaling>
        <c:delete val="0"/>
        <c:axPos val="l"/>
        <c:majorGridlines>
          <c:spPr>
            <a:ln w="12690">
              <a:noFill/>
              <a:prstDash val="sysDash"/>
            </a:ln>
          </c:spPr>
        </c:majorGridlines>
        <c:numFmt formatCode="General" sourceLinked="1"/>
        <c:majorTickMark val="cross"/>
        <c:minorTickMark val="none"/>
        <c:tickLblPos val="nextTo"/>
        <c:spPr>
          <a:ln w="12690">
            <a:solidFill>
              <a:srgbClr val="000000"/>
            </a:solidFill>
            <a:prstDash val="solid"/>
          </a:ln>
        </c:spPr>
        <c:txPr>
          <a:bodyPr rot="0" vert="horz"/>
          <a:lstStyle/>
          <a:p>
            <a:pPr>
              <a:defRPr sz="700">
                <a:solidFill>
                  <a:sysClr val="windowText" lastClr="000000"/>
                </a:solidFill>
                <a:latin typeface="Palatino Linotype" pitchFamily="18" charset="0"/>
              </a:defRPr>
            </a:pPr>
            <a:endParaRPr lang="ru-RU"/>
          </a:p>
        </c:txPr>
        <c:crossAx val="177057152"/>
        <c:crosses val="autoZero"/>
        <c:crossBetween val="between"/>
        <c:majorUnit val="5"/>
      </c:valAx>
      <c:spPr>
        <a:noFill/>
        <a:ln w="25380">
          <a:noFill/>
        </a:ln>
      </c:spPr>
    </c:plotArea>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30"/>
      <c:rAngAx val="1"/>
    </c:view3D>
    <c:floor>
      <c:thickness val="0"/>
      <c:spPr>
        <a:solidFill>
          <a:schemeClr val="accent1">
            <a:lumMod val="20000"/>
            <a:lumOff val="80000"/>
            <a:alpha val="30000"/>
          </a:schemeClr>
        </a:solidFill>
        <a:ln w="6350">
          <a:solidFill>
            <a:schemeClr val="accent1">
              <a:lumMod val="20000"/>
              <a:lumOff val="80000"/>
            </a:schemeClr>
          </a:solidFill>
        </a:ln>
        <a:scene3d>
          <a:camera prst="orthographicFront"/>
          <a:lightRig rig="threePt" dir="t"/>
        </a:scene3d>
        <a:sp3d>
          <a:contourClr>
            <a:srgbClr val="000000"/>
          </a:contourClr>
        </a:sp3d>
      </c:spPr>
    </c:floor>
    <c:sideWall>
      <c:thickness val="0"/>
    </c:sideWall>
    <c:backWall>
      <c:thickness val="0"/>
    </c:backWall>
    <c:plotArea>
      <c:layout>
        <c:manualLayout>
          <c:layoutTarget val="inner"/>
          <c:xMode val="edge"/>
          <c:yMode val="edge"/>
          <c:x val="0"/>
          <c:y val="0"/>
          <c:w val="1"/>
          <c:h val="0.89403314861220629"/>
        </c:manualLayout>
      </c:layout>
      <c:line3DChart>
        <c:grouping val="standard"/>
        <c:varyColors val="0"/>
        <c:ser>
          <c:idx val="0"/>
          <c:order val="0"/>
          <c:tx>
            <c:strRef>
              <c:f>Лист1!$B$1</c:f>
              <c:strCache>
                <c:ptCount val="1"/>
                <c:pt idx="0">
                  <c:v>Ряд 1</c:v>
                </c:pt>
              </c:strCache>
            </c:strRef>
          </c:tx>
          <c:spPr>
            <a:gradFill>
              <a:gsLst>
                <a:gs pos="0">
                  <a:schemeClr val="accent1">
                    <a:tint val="66000"/>
                    <a:satMod val="160000"/>
                  </a:schemeClr>
                </a:gs>
                <a:gs pos="3350">
                  <a:schemeClr val="bg1">
                    <a:lumMod val="95000"/>
                  </a:schemeClr>
                </a:gs>
                <a:gs pos="50000">
                  <a:schemeClr val="accent5">
                    <a:lumMod val="75000"/>
                  </a:schemeClr>
                </a:gs>
                <a:gs pos="100000">
                  <a:schemeClr val="accent1">
                    <a:tint val="23500"/>
                    <a:satMod val="160000"/>
                  </a:schemeClr>
                </a:gs>
              </a:gsLst>
              <a:lin ang="5400000" scaled="0"/>
            </a:gradFill>
            <a:ln>
              <a:solidFill>
                <a:srgbClr val="4F81BD">
                  <a:lumMod val="75000"/>
                </a:srgbClr>
              </a:solidFill>
            </a:ln>
            <a:scene3d>
              <a:camera prst="orthographicFront"/>
              <a:lightRig rig="threePt" dir="t"/>
            </a:scene3d>
            <a:sp3d prstMaterial="metal">
              <a:contourClr>
                <a:srgbClr val="000000"/>
              </a:contourClr>
            </a:sp3d>
          </c:spPr>
          <c:dLbls>
            <c:dLbl>
              <c:idx val="0"/>
              <c:layout>
                <c:manualLayout>
                  <c:x val="-4.9443088917688468E-3"/>
                  <c:y val="-0.14800005468066491"/>
                </c:manualLayout>
              </c:layout>
              <c:tx>
                <c:rich>
                  <a:bodyPr/>
                  <a:lstStyle/>
                  <a:p>
                    <a:r>
                      <a:rPr lang="en-US" sz="1100" b="1" i="1">
                        <a:latin typeface="Times New Roman" pitchFamily="18" charset="0"/>
                        <a:cs typeface="Times New Roman" pitchFamily="18" charset="0"/>
                      </a:rPr>
                      <a:t>21</a:t>
                    </a:r>
                    <a:r>
                      <a:rPr lang="ru-RU" sz="1100" b="1" i="1">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1"/>
              <c:layout>
                <c:manualLayout>
                  <c:x val="-1.0577025424764601E-2"/>
                  <c:y val="-0.15423697037870265"/>
                </c:manualLayout>
              </c:layout>
              <c:tx>
                <c:rich>
                  <a:bodyPr/>
                  <a:lstStyle/>
                  <a:p>
                    <a:r>
                      <a:rPr lang="en-US" sz="1100" b="1" i="1">
                        <a:latin typeface="Times New Roman" pitchFamily="18" charset="0"/>
                        <a:cs typeface="Times New Roman" pitchFamily="18" charset="0"/>
                      </a:rPr>
                      <a:t>27</a:t>
                    </a:r>
                    <a:r>
                      <a:rPr lang="ru-RU" sz="1100" b="1" i="1">
                        <a:latin typeface="Times New Roman" pitchFamily="18" charset="0"/>
                        <a:cs typeface="Times New Roman" pitchFamily="18" charset="0"/>
                      </a:rPr>
                      <a:t>,</a:t>
                    </a:r>
                    <a:r>
                      <a:rPr lang="en-US" sz="1100" b="1" i="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2"/>
              <c:layout>
                <c:manualLayout>
                  <c:x val="-1.8727632734983499E-2"/>
                  <c:y val="-0.13334768700787403"/>
                </c:manualLayout>
              </c:layout>
              <c:tx>
                <c:rich>
                  <a:bodyPr/>
                  <a:lstStyle/>
                  <a:p>
                    <a:r>
                      <a:rPr lang="en-US" sz="1100" b="1" i="1">
                        <a:latin typeface="Times New Roman" pitchFamily="18" charset="0"/>
                        <a:cs typeface="Times New Roman" pitchFamily="18" charset="0"/>
                      </a:rPr>
                      <a:t>22</a:t>
                    </a:r>
                    <a:r>
                      <a:rPr lang="ru-RU" sz="1100" b="1" i="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3"/>
              <c:layout>
                <c:manualLayout>
                  <c:x val="-2.0613790503624094E-2"/>
                  <c:y val="-0.17318694538182727"/>
                </c:manualLayout>
              </c:layout>
              <c:tx>
                <c:rich>
                  <a:bodyPr/>
                  <a:lstStyle/>
                  <a:p>
                    <a:r>
                      <a:rPr lang="en-US" sz="1100" b="1" i="1">
                        <a:latin typeface="Times New Roman" pitchFamily="18" charset="0"/>
                        <a:cs typeface="Times New Roman" pitchFamily="18" charset="0"/>
                      </a:rPr>
                      <a:t>23</a:t>
                    </a:r>
                    <a:r>
                      <a:rPr lang="ru-RU" sz="1100" b="1" i="1">
                        <a:latin typeface="Times New Roman" pitchFamily="18" charset="0"/>
                        <a:cs typeface="Times New Roman" pitchFamily="18" charset="0"/>
                      </a:rPr>
                      <a:t>,</a:t>
                    </a:r>
                    <a:r>
                      <a:rPr lang="en-US" sz="1100" b="1" i="1">
                        <a:latin typeface="Times New Roman" pitchFamily="18" charset="0"/>
                        <a:cs typeface="Times New Roman" pitchFamily="18" charset="0"/>
                      </a:rPr>
                      <a:t>5</a:t>
                    </a:r>
                    <a:endParaRPr lang="en-US"/>
                  </a:p>
                </c:rich>
              </c:tx>
              <c:showLegendKey val="0"/>
              <c:showVal val="1"/>
              <c:showCatName val="0"/>
              <c:showSerName val="0"/>
              <c:showPercent val="0"/>
              <c:showBubbleSize val="0"/>
            </c:dLbl>
            <c:dLbl>
              <c:idx val="4"/>
              <c:layout>
                <c:manualLayout>
                  <c:x val="-3.0864571282814984E-2"/>
                  <c:y val="-0.12286403652668412"/>
                </c:manualLayout>
              </c:layout>
              <c:tx>
                <c:rich>
                  <a:bodyPr/>
                  <a:lstStyle/>
                  <a:p>
                    <a:r>
                      <a:rPr lang="en-US" sz="1100" b="1" i="1">
                        <a:latin typeface="Times New Roman" pitchFamily="18" charset="0"/>
                        <a:cs typeface="Times New Roman" pitchFamily="18" charset="0"/>
                      </a:rPr>
                      <a:t>17</a:t>
                    </a:r>
                    <a:r>
                      <a:rPr lang="ru-RU" sz="1100" b="1" i="1">
                        <a:latin typeface="Times New Roman" pitchFamily="18" charset="0"/>
                        <a:cs typeface="Times New Roman" pitchFamily="18" charset="0"/>
                      </a:rPr>
                      <a:t>,3</a:t>
                    </a:r>
                    <a:endParaRPr lang="en-US"/>
                  </a:p>
                </c:rich>
              </c:tx>
              <c:showLegendKey val="0"/>
              <c:showVal val="1"/>
              <c:showCatName val="0"/>
              <c:showSerName val="0"/>
              <c:showPercent val="0"/>
              <c:showBubbleSize val="0"/>
            </c:dLbl>
            <c:dLbl>
              <c:idx val="5"/>
              <c:layout>
                <c:manualLayout>
                  <c:x val="-2.0614112566423363E-2"/>
                  <c:y val="-0.16608470816147983"/>
                </c:manualLayout>
              </c:layout>
              <c:tx>
                <c:rich>
                  <a:bodyPr/>
                  <a:lstStyle/>
                  <a:p>
                    <a:r>
                      <a:rPr lang="en-US" sz="1100" b="1" i="1">
                        <a:latin typeface="Times New Roman" pitchFamily="18" charset="0"/>
                        <a:cs typeface="Times New Roman" pitchFamily="18" charset="0"/>
                      </a:rPr>
                      <a:t>26</a:t>
                    </a:r>
                    <a:r>
                      <a:rPr lang="ru-RU" sz="1100" b="1" i="1">
                        <a:latin typeface="Times New Roman" pitchFamily="18" charset="0"/>
                        <a:cs typeface="Times New Roman" pitchFamily="18" charset="0"/>
                      </a:rPr>
                      <a:t>,4</a:t>
                    </a:r>
                    <a:endParaRPr lang="en-US"/>
                  </a:p>
                </c:rich>
              </c:tx>
              <c:showLegendKey val="0"/>
              <c:showVal val="1"/>
              <c:showCatName val="0"/>
              <c:showSerName val="0"/>
              <c:showPercent val="0"/>
              <c:showBubbleSize val="0"/>
            </c:dLbl>
            <c:dLbl>
              <c:idx val="6"/>
              <c:layout>
                <c:manualLayout>
                  <c:x val="-2.4518640914310521E-2"/>
                  <c:y val="-0.15708192725909262"/>
                </c:manualLayout>
              </c:layout>
              <c:tx>
                <c:rich>
                  <a:bodyPr/>
                  <a:lstStyle/>
                  <a:p>
                    <a:r>
                      <a:rPr lang="en-US" sz="1100"/>
                      <a:t>30</a:t>
                    </a:r>
                    <a:r>
                      <a:rPr lang="ru-RU" sz="1100"/>
                      <a:t>,3</a:t>
                    </a:r>
                    <a:endParaRPr lang="en-US"/>
                  </a:p>
                </c:rich>
              </c:tx>
              <c:showLegendKey val="0"/>
              <c:showVal val="1"/>
              <c:showCatName val="0"/>
              <c:showSerName val="0"/>
              <c:showPercent val="0"/>
              <c:showBubbleSize val="0"/>
            </c:dLbl>
            <c:dLbl>
              <c:idx val="7"/>
              <c:layout>
                <c:manualLayout>
                  <c:x val="-2.8420109665603807E-2"/>
                  <c:y val="-0.19626140482439694"/>
                </c:manualLayout>
              </c:layout>
              <c:tx>
                <c:rich>
                  <a:bodyPr/>
                  <a:lstStyle/>
                  <a:p>
                    <a:r>
                      <a:rPr lang="ru-RU" sz="1100"/>
                      <a:t>41,</a:t>
                    </a:r>
                    <a:r>
                      <a:rPr lang="en-US" sz="1100"/>
                      <a:t> </a:t>
                    </a:r>
                    <a:r>
                      <a:rPr lang="ru-RU" sz="1100"/>
                      <a:t>0</a:t>
                    </a:r>
                    <a:endParaRPr lang="en-US"/>
                  </a:p>
                </c:rich>
              </c:tx>
              <c:showLegendKey val="0"/>
              <c:showVal val="1"/>
              <c:showCatName val="0"/>
              <c:showSerName val="0"/>
              <c:showPercent val="0"/>
              <c:showBubbleSize val="0"/>
            </c:dLbl>
            <c:dLbl>
              <c:idx val="8"/>
              <c:layout>
                <c:manualLayout>
                  <c:x val="-2.0450991051805742E-2"/>
                  <c:y val="-0.11284722222222221"/>
                </c:manualLayout>
              </c:layout>
              <c:tx>
                <c:rich>
                  <a:bodyPr/>
                  <a:lstStyle/>
                  <a:p>
                    <a:r>
                      <a:rPr lang="en-US"/>
                      <a:t>44</a:t>
                    </a:r>
                    <a:r>
                      <a:rPr lang="ru-RU"/>
                      <a:t>,7</a:t>
                    </a:r>
                    <a:endParaRPr lang="en-US"/>
                  </a:p>
                </c:rich>
              </c:tx>
              <c:showLegendKey val="0"/>
              <c:showVal val="1"/>
              <c:showCatName val="0"/>
              <c:showSerName val="0"/>
              <c:showPercent val="0"/>
              <c:showBubbleSize val="0"/>
            </c:dLbl>
            <c:spPr>
              <a:scene3d>
                <a:camera prst="orthographicFront"/>
                <a:lightRig rig="threePt" dir="t"/>
              </a:scene3d>
              <a:sp3d>
                <a:bevelT w="6350"/>
              </a:sp3d>
            </c:spPr>
            <c:txPr>
              <a:bodyPr/>
              <a:lstStyle/>
              <a:p>
                <a:pPr>
                  <a:defRPr sz="1100" b="1" i="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Лист1!$B$2:$B$9</c:f>
              <c:numCache>
                <c:formatCode>#,##0.00</c:formatCode>
                <c:ptCount val="8"/>
                <c:pt idx="0">
                  <c:v>21799</c:v>
                </c:pt>
                <c:pt idx="1">
                  <c:v>27124</c:v>
                </c:pt>
                <c:pt idx="2">
                  <c:v>22066</c:v>
                </c:pt>
                <c:pt idx="3">
                  <c:v>23527.5</c:v>
                </c:pt>
                <c:pt idx="4">
                  <c:v>17267.400000000001</c:v>
                </c:pt>
                <c:pt idx="5">
                  <c:v>26375.3</c:v>
                </c:pt>
                <c:pt idx="6">
                  <c:v>30265.3</c:v>
                </c:pt>
                <c:pt idx="7">
                  <c:v>32081.200000000001</c:v>
                </c:pt>
              </c:numCache>
            </c:numRef>
          </c:val>
          <c:smooth val="0"/>
        </c:ser>
        <c:dLbls>
          <c:showLegendKey val="0"/>
          <c:showVal val="0"/>
          <c:showCatName val="0"/>
          <c:showSerName val="0"/>
          <c:showPercent val="0"/>
          <c:showBubbleSize val="0"/>
        </c:dLbls>
        <c:axId val="178438912"/>
        <c:axId val="178440448"/>
        <c:axId val="148096320"/>
      </c:line3DChart>
      <c:catAx>
        <c:axId val="178438912"/>
        <c:scaling>
          <c:orientation val="minMax"/>
        </c:scaling>
        <c:delete val="0"/>
        <c:axPos val="b"/>
        <c:numFmt formatCode="General" sourceLinked="1"/>
        <c:majorTickMark val="out"/>
        <c:minorTickMark val="none"/>
        <c:tickLblPos val="nextTo"/>
        <c:txPr>
          <a:bodyPr/>
          <a:lstStyle/>
          <a:p>
            <a:pPr>
              <a:defRPr sz="900" b="0" i="0">
                <a:latin typeface="Times New Roman" pitchFamily="18" charset="0"/>
                <a:cs typeface="Times New Roman" pitchFamily="18" charset="0"/>
              </a:defRPr>
            </a:pPr>
            <a:endParaRPr lang="ru-RU"/>
          </a:p>
        </c:txPr>
        <c:crossAx val="178440448"/>
        <c:crosses val="autoZero"/>
        <c:auto val="1"/>
        <c:lblAlgn val="ctr"/>
        <c:lblOffset val="100"/>
        <c:noMultiLvlLbl val="0"/>
      </c:catAx>
      <c:valAx>
        <c:axId val="178440448"/>
        <c:scaling>
          <c:orientation val="minMax"/>
          <c:max val="47000"/>
        </c:scaling>
        <c:delete val="1"/>
        <c:axPos val="l"/>
        <c:majorGridlines>
          <c:spPr>
            <a:ln>
              <a:noFill/>
            </a:ln>
          </c:spPr>
        </c:majorGridlines>
        <c:numFmt formatCode="#,##0.00" sourceLinked="1"/>
        <c:majorTickMark val="out"/>
        <c:minorTickMark val="none"/>
        <c:tickLblPos val="nextTo"/>
        <c:crossAx val="178438912"/>
        <c:crosses val="autoZero"/>
        <c:crossBetween val="between"/>
      </c:valAx>
      <c:serAx>
        <c:axId val="148096320"/>
        <c:scaling>
          <c:orientation val="minMax"/>
        </c:scaling>
        <c:delete val="1"/>
        <c:axPos val="b"/>
        <c:majorTickMark val="out"/>
        <c:minorTickMark val="none"/>
        <c:tickLblPos val="nextTo"/>
        <c:crossAx val="178440448"/>
        <c:crosses val="autoZero"/>
      </c:serAx>
      <c:spPr>
        <a:noFill/>
        <a:ln>
          <a:noFill/>
        </a:ln>
      </c:spPr>
    </c:plotArea>
    <c:plotVisOnly val="1"/>
    <c:dispBlanksAs val="gap"/>
    <c:showDLblsOverMax val="0"/>
  </c:chart>
  <c:spPr>
    <a:noFill/>
    <a:ln>
      <a:noFill/>
    </a:ln>
    <a:effectLst>
      <a:innerShdw blurRad="63500" dist="50800" dir="2700000">
        <a:prstClr val="black">
          <a:alpha val="50000"/>
        </a:prstClr>
      </a:innerShd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ru-RU" sz="1200" i="1"/>
              <a:t>Динамика объемов налогооблагаемой прибыли
в 2018-2025 годах</a:t>
            </a:r>
          </a:p>
        </c:rich>
      </c:tx>
      <c:layout>
        <c:manualLayout>
          <c:xMode val="edge"/>
          <c:yMode val="edge"/>
          <c:x val="0.24006200552594031"/>
          <c:y val="1.2150184482049509E-2"/>
        </c:manualLayout>
      </c:layout>
      <c:overlay val="0"/>
      <c:spPr>
        <a:noFill/>
        <a:ln w="25360">
          <a:noFill/>
        </a:ln>
      </c:spPr>
    </c:title>
    <c:autoTitleDeleted val="0"/>
    <c:plotArea>
      <c:layout>
        <c:manualLayout>
          <c:layoutTarget val="inner"/>
          <c:xMode val="edge"/>
          <c:yMode val="edge"/>
          <c:x val="4.6840638716062019E-2"/>
          <c:y val="8.3851099101041826E-2"/>
          <c:w val="0.91472641837629665"/>
          <c:h val="0.68630142927360516"/>
        </c:manualLayout>
      </c:layout>
      <c:barChart>
        <c:barDir val="col"/>
        <c:grouping val="clustered"/>
        <c:varyColors val="0"/>
        <c:ser>
          <c:idx val="1"/>
          <c:order val="0"/>
          <c:tx>
            <c:strRef>
              <c:f>Sheet1!$A$2</c:f>
              <c:strCache>
                <c:ptCount val="1"/>
                <c:pt idx="0">
                  <c:v>объем налогооблагаемой прибыли, млрд. рублей </c:v>
                </c:pt>
              </c:strCache>
            </c:strRef>
          </c:tx>
          <c:spPr>
            <a:solidFill>
              <a:srgbClr val="4F81BD">
                <a:lumMod val="40000"/>
                <a:lumOff val="60000"/>
              </a:srgbClr>
            </a:solidFill>
            <a:ln w="9472">
              <a:solidFill>
                <a:srgbClr val="4F81BD">
                  <a:lumMod val="60000"/>
                  <a:lumOff val="40000"/>
                </a:srgbClr>
              </a:solidFill>
              <a:prstDash val="solid"/>
            </a:ln>
          </c:spPr>
          <c:invertIfNegative val="0"/>
          <c:dLbls>
            <c:dLbl>
              <c:idx val="0"/>
              <c:layout>
                <c:manualLayout>
                  <c:x val="-2.3668609834123751E-3"/>
                  <c:y val="9.8082182436738885E-2"/>
                </c:manualLayout>
              </c:layout>
              <c:dLblPos val="outEnd"/>
              <c:showLegendKey val="0"/>
              <c:showVal val="1"/>
              <c:showCatName val="0"/>
              <c:showSerName val="0"/>
              <c:showPercent val="0"/>
              <c:showBubbleSize val="0"/>
            </c:dLbl>
            <c:dLbl>
              <c:idx val="1"/>
              <c:layout>
                <c:manualLayout>
                  <c:x val="-3.0355015259293803E-3"/>
                  <c:y val="0.12814269909853834"/>
                </c:manualLayout>
              </c:layout>
              <c:dLblPos val="outEnd"/>
              <c:showLegendKey val="0"/>
              <c:showVal val="1"/>
              <c:showCatName val="0"/>
              <c:showSerName val="0"/>
              <c:showPercent val="0"/>
              <c:showBubbleSize val="0"/>
            </c:dLbl>
            <c:dLbl>
              <c:idx val="2"/>
              <c:layout>
                <c:manualLayout>
                  <c:x val="9.1611315687992224E-3"/>
                  <c:y val="0.15295005884029494"/>
                </c:manualLayout>
              </c:layout>
              <c:dLblPos val="outEnd"/>
              <c:showLegendKey val="0"/>
              <c:showVal val="1"/>
              <c:showCatName val="0"/>
              <c:showSerName val="0"/>
              <c:showPercent val="0"/>
              <c:showBubbleSize val="0"/>
            </c:dLbl>
            <c:dLbl>
              <c:idx val="3"/>
              <c:layout>
                <c:manualLayout>
                  <c:x val="-9.897670066245257E-4"/>
                  <c:y val="0.1804973919642229"/>
                </c:manualLayout>
              </c:layout>
              <c:dLblPos val="outEnd"/>
              <c:showLegendKey val="0"/>
              <c:showVal val="1"/>
              <c:showCatName val="0"/>
              <c:showSerName val="0"/>
              <c:showPercent val="0"/>
              <c:showBubbleSize val="0"/>
            </c:dLbl>
            <c:dLbl>
              <c:idx val="4"/>
              <c:layout>
                <c:manualLayout>
                  <c:x val="-1.9135285698295714E-4"/>
                  <c:y val="0.20543484054744984"/>
                </c:manualLayout>
              </c:layout>
              <c:dLblPos val="outEnd"/>
              <c:showLegendKey val="0"/>
              <c:showVal val="1"/>
              <c:showCatName val="0"/>
              <c:showSerName val="0"/>
              <c:showPercent val="0"/>
              <c:showBubbleSize val="0"/>
            </c:dLbl>
            <c:dLbl>
              <c:idx val="5"/>
              <c:layout>
                <c:manualLayout>
                  <c:x val="1.379717306864653E-3"/>
                  <c:y val="0.22580068936556624"/>
                </c:manualLayout>
              </c:layout>
              <c:dLblPos val="outEnd"/>
              <c:showLegendKey val="0"/>
              <c:showVal val="1"/>
              <c:showCatName val="0"/>
              <c:showSerName val="0"/>
              <c:showPercent val="0"/>
              <c:showBubbleSize val="0"/>
            </c:dLbl>
            <c:dLbl>
              <c:idx val="6"/>
              <c:layout>
                <c:manualLayout>
                  <c:x val="6.2415195068509805E-3"/>
                  <c:y val="0.22201493412231657"/>
                </c:manualLayout>
              </c:layout>
              <c:dLblPos val="outEnd"/>
              <c:showLegendKey val="0"/>
              <c:showVal val="1"/>
              <c:showCatName val="0"/>
              <c:showSerName val="0"/>
              <c:showPercent val="0"/>
              <c:showBubbleSize val="0"/>
            </c:dLbl>
            <c:dLbl>
              <c:idx val="7"/>
              <c:layout>
                <c:manualLayout>
                  <c:x val="2.405902307496567E-3"/>
                  <c:y val="0.2362615465401825"/>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25360">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Sheet1!$B$1:$I$1</c:f>
              <c:strCache>
                <c:ptCount val="8"/>
                <c:pt idx="0">
                  <c:v>2018 (факт)</c:v>
                </c:pt>
                <c:pt idx="1">
                  <c:v>2019 (оценка)</c:v>
                </c:pt>
                <c:pt idx="2">
                  <c:v>2020 (прогноз)</c:v>
                </c:pt>
                <c:pt idx="3">
                  <c:v>2021 (прогноз)</c:v>
                </c:pt>
                <c:pt idx="4">
                  <c:v>2022 (прогноз)</c:v>
                </c:pt>
                <c:pt idx="5">
                  <c:v>2023 (прогноз)</c:v>
                </c:pt>
                <c:pt idx="6">
                  <c:v>2024 (прогноз)</c:v>
                </c:pt>
                <c:pt idx="7">
                  <c:v>2025 (прогноз)</c:v>
                </c:pt>
              </c:strCache>
            </c:strRef>
          </c:cat>
          <c:val>
            <c:numRef>
              <c:f>Sheet1!$B$2:$I$2</c:f>
              <c:numCache>
                <c:formatCode>0.0</c:formatCode>
                <c:ptCount val="8"/>
                <c:pt idx="0">
                  <c:v>40.97242</c:v>
                </c:pt>
                <c:pt idx="1">
                  <c:v>44.659939999999999</c:v>
                </c:pt>
                <c:pt idx="2">
                  <c:v>48.143410000000003</c:v>
                </c:pt>
                <c:pt idx="3">
                  <c:v>51.417160000000003</c:v>
                </c:pt>
                <c:pt idx="4">
                  <c:v>54.759279999999997</c:v>
                </c:pt>
                <c:pt idx="5">
                  <c:v>56.949651199999998</c:v>
                </c:pt>
                <c:pt idx="6">
                  <c:v>58.658140736</c:v>
                </c:pt>
                <c:pt idx="7">
                  <c:v>60.417884958080002</c:v>
                </c:pt>
              </c:numCache>
            </c:numRef>
          </c:val>
        </c:ser>
        <c:dLbls>
          <c:showLegendKey val="0"/>
          <c:showVal val="0"/>
          <c:showCatName val="0"/>
          <c:showSerName val="0"/>
          <c:showPercent val="0"/>
          <c:showBubbleSize val="0"/>
        </c:dLbls>
        <c:gapWidth val="10"/>
        <c:axId val="178841088"/>
        <c:axId val="178842624"/>
      </c:barChart>
      <c:lineChart>
        <c:grouping val="standard"/>
        <c:varyColors val="0"/>
        <c:ser>
          <c:idx val="0"/>
          <c:order val="1"/>
          <c:tx>
            <c:strRef>
              <c:f>Sheet1!$A$3</c:f>
              <c:strCache>
                <c:ptCount val="1"/>
                <c:pt idx="0">
                  <c:v>темп роста к предыдущему году, %</c:v>
                </c:pt>
              </c:strCache>
            </c:strRef>
          </c:tx>
          <c:spPr>
            <a:ln w="25400">
              <a:solidFill>
                <a:srgbClr val="4F81BD">
                  <a:lumMod val="75000"/>
                  <a:alpha val="62000"/>
                </a:srgbClr>
              </a:solidFill>
              <a:prstDash val="sysDot"/>
            </a:ln>
          </c:spPr>
          <c:marker>
            <c:symbol val="square"/>
            <c:size val="32"/>
            <c:spPr>
              <a:solidFill>
                <a:srgbClr val="4F81BD">
                  <a:lumMod val="75000"/>
                  <a:alpha val="67000"/>
                </a:srgbClr>
              </a:solidFill>
              <a:ln>
                <a:solidFill>
                  <a:srgbClr val="4F81BD">
                    <a:lumMod val="75000"/>
                  </a:srgbClr>
                </a:solidFill>
                <a:prstDash val="solid"/>
              </a:ln>
            </c:spPr>
          </c:marker>
          <c:dLbls>
            <c:dLbl>
              <c:idx val="0"/>
              <c:layout>
                <c:manualLayout>
                  <c:x val="-6.5224781580766236E-2"/>
                  <c:y val="-5.5206161530288662E-4"/>
                </c:manualLayout>
              </c:layout>
              <c:dLblPos val="r"/>
              <c:showLegendKey val="0"/>
              <c:showVal val="1"/>
              <c:showCatName val="0"/>
              <c:showSerName val="0"/>
              <c:showPercent val="0"/>
              <c:showBubbleSize val="0"/>
            </c:dLbl>
            <c:dLbl>
              <c:idx val="1"/>
              <c:layout>
                <c:manualLayout>
                  <c:x val="-6.582623453363165E-2"/>
                  <c:y val="-5.2156968250276275E-3"/>
                </c:manualLayout>
              </c:layout>
              <c:dLblPos val="r"/>
              <c:showLegendKey val="0"/>
              <c:showVal val="1"/>
              <c:showCatName val="0"/>
              <c:showSerName val="0"/>
              <c:showPercent val="0"/>
              <c:showBubbleSize val="0"/>
            </c:dLbl>
            <c:dLbl>
              <c:idx val="2"/>
              <c:layout>
                <c:manualLayout>
                  <c:x val="-7.048965073137671E-2"/>
                  <c:y val="-1.5659440049456881E-3"/>
                </c:manualLayout>
              </c:layout>
              <c:dLblPos val="r"/>
              <c:showLegendKey val="0"/>
              <c:showVal val="1"/>
              <c:showCatName val="0"/>
              <c:showSerName val="0"/>
              <c:showPercent val="0"/>
              <c:showBubbleSize val="0"/>
            </c:dLbl>
            <c:dLbl>
              <c:idx val="3"/>
              <c:layout>
                <c:manualLayout>
                  <c:x val="-6.5343396592055222E-2"/>
                  <c:y val="-1.2474994175736793E-2"/>
                </c:manualLayout>
              </c:layout>
              <c:dLblPos val="r"/>
              <c:showLegendKey val="0"/>
              <c:showVal val="1"/>
              <c:showCatName val="0"/>
              <c:showSerName val="0"/>
              <c:showPercent val="0"/>
              <c:showBubbleSize val="0"/>
            </c:dLbl>
            <c:dLbl>
              <c:idx val="4"/>
              <c:layout>
                <c:manualLayout>
                  <c:x val="-6.8591706922527126E-2"/>
                  <c:y val="-8.0272368751622362E-3"/>
                </c:manualLayout>
              </c:layout>
              <c:dLblPos val="r"/>
              <c:showLegendKey val="0"/>
              <c:showVal val="1"/>
              <c:showCatName val="0"/>
              <c:showSerName val="0"/>
              <c:showPercent val="0"/>
              <c:showBubbleSize val="0"/>
            </c:dLbl>
            <c:dLbl>
              <c:idx val="5"/>
              <c:layout>
                <c:manualLayout>
                  <c:x val="-6.3744822833436826E-2"/>
                  <c:y val="-4.8905643335373453E-3"/>
                </c:manualLayout>
              </c:layout>
              <c:dLblPos val="r"/>
              <c:showLegendKey val="0"/>
              <c:showVal val="1"/>
              <c:showCatName val="0"/>
              <c:showSerName val="0"/>
              <c:showPercent val="0"/>
              <c:showBubbleSize val="0"/>
            </c:dLbl>
            <c:dLbl>
              <c:idx val="6"/>
              <c:layout>
                <c:manualLayout>
                  <c:x val="-6.5235865412588467E-2"/>
                  <c:y val="-3.2155960696841107E-3"/>
                </c:manualLayout>
              </c:layout>
              <c:dLblPos val="r"/>
              <c:showLegendKey val="0"/>
              <c:showVal val="1"/>
              <c:showCatName val="0"/>
              <c:showSerName val="0"/>
              <c:showPercent val="0"/>
              <c:showBubbleSize val="0"/>
            </c:dLbl>
            <c:dLbl>
              <c:idx val="7"/>
              <c:layout>
                <c:manualLayout>
                  <c:x val="-6.7979862051624929E-2"/>
                  <c:y val="-8.3441924639458612E-3"/>
                </c:manualLayout>
              </c:layout>
              <c:dLblPos val="r"/>
              <c:showLegendKey val="0"/>
              <c:showVal val="1"/>
              <c:showCatName val="0"/>
              <c:showSerName val="0"/>
              <c:showPercent val="0"/>
              <c:showBubbleSize val="0"/>
            </c:dLbl>
            <c:dLbl>
              <c:idx val="8"/>
              <c:layout>
                <c:manualLayout>
                  <c:x val="-4.8092006344747119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25360">
                <a:noFill/>
              </a:ln>
            </c:spPr>
            <c:txPr>
              <a:bodyPr/>
              <a:lstStyle/>
              <a:p>
                <a:pPr>
                  <a:defRPr sz="100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Sheet1!$B$1:$G$1</c:f>
              <c:strCache>
                <c:ptCount val="6"/>
                <c:pt idx="0">
                  <c:v>2018 (факт)</c:v>
                </c:pt>
                <c:pt idx="1">
                  <c:v>2019 (оценка)</c:v>
                </c:pt>
                <c:pt idx="2">
                  <c:v>2020 (прогноз)</c:v>
                </c:pt>
                <c:pt idx="3">
                  <c:v>2021 (прогноз)</c:v>
                </c:pt>
                <c:pt idx="4">
                  <c:v>2022 (прогноз)</c:v>
                </c:pt>
                <c:pt idx="5">
                  <c:v>2023 (прогноз)</c:v>
                </c:pt>
              </c:strCache>
            </c:strRef>
          </c:cat>
          <c:val>
            <c:numRef>
              <c:f>Sheet1!$B$3:$I$3</c:f>
              <c:numCache>
                <c:formatCode>#,##0.0</c:formatCode>
                <c:ptCount val="8"/>
                <c:pt idx="0">
                  <c:v>135.3775445807575</c:v>
                </c:pt>
                <c:pt idx="1">
                  <c:v>109.00000536946561</c:v>
                </c:pt>
                <c:pt idx="2">
                  <c:v>107.79998808775831</c:v>
                </c:pt>
                <c:pt idx="3">
                  <c:v>106.79999609500032</c:v>
                </c:pt>
                <c:pt idx="4">
                  <c:v>106.50000894642955</c:v>
                </c:pt>
                <c:pt idx="5">
                  <c:v>104</c:v>
                </c:pt>
                <c:pt idx="6">
                  <c:v>103</c:v>
                </c:pt>
                <c:pt idx="7">
                  <c:v>103</c:v>
                </c:pt>
              </c:numCache>
            </c:numRef>
          </c:val>
          <c:smooth val="0"/>
        </c:ser>
        <c:dLbls>
          <c:showLegendKey val="0"/>
          <c:showVal val="0"/>
          <c:showCatName val="0"/>
          <c:showSerName val="0"/>
          <c:showPercent val="0"/>
          <c:showBubbleSize val="0"/>
        </c:dLbls>
        <c:marker val="1"/>
        <c:smooth val="0"/>
        <c:axId val="178868992"/>
        <c:axId val="178870528"/>
      </c:lineChart>
      <c:catAx>
        <c:axId val="178841088"/>
        <c:scaling>
          <c:orientation val="minMax"/>
        </c:scaling>
        <c:delete val="0"/>
        <c:axPos val="b"/>
        <c:numFmt formatCode="General" sourceLinked="1"/>
        <c:majorTickMark val="cross"/>
        <c:minorTickMark val="none"/>
        <c:tickLblPos val="nextTo"/>
        <c:spPr>
          <a:ln w="2368">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78842624"/>
        <c:crosses val="autoZero"/>
        <c:auto val="0"/>
        <c:lblAlgn val="ctr"/>
        <c:lblOffset val="100"/>
        <c:tickLblSkip val="1"/>
        <c:tickMarkSkip val="1"/>
        <c:noMultiLvlLbl val="0"/>
      </c:catAx>
      <c:valAx>
        <c:axId val="178842624"/>
        <c:scaling>
          <c:orientation val="minMax"/>
          <c:max val="75"/>
          <c:min val="35"/>
        </c:scaling>
        <c:delete val="0"/>
        <c:axPos val="l"/>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Times New Roman"/>
                <a:ea typeface="Times New Roman"/>
                <a:cs typeface="Times New Roman"/>
              </a:defRPr>
            </a:pPr>
            <a:endParaRPr lang="ru-RU"/>
          </a:p>
        </c:txPr>
        <c:crossAx val="178841088"/>
        <c:crosses val="autoZero"/>
        <c:crossBetween val="between"/>
        <c:majorUnit val="5"/>
      </c:valAx>
      <c:catAx>
        <c:axId val="178868992"/>
        <c:scaling>
          <c:orientation val="minMax"/>
        </c:scaling>
        <c:delete val="1"/>
        <c:axPos val="b"/>
        <c:majorTickMark val="out"/>
        <c:minorTickMark val="none"/>
        <c:tickLblPos val="nextTo"/>
        <c:crossAx val="178870528"/>
        <c:crosses val="autoZero"/>
        <c:auto val="0"/>
        <c:lblAlgn val="ctr"/>
        <c:lblOffset val="100"/>
        <c:noMultiLvlLbl val="0"/>
      </c:catAx>
      <c:valAx>
        <c:axId val="178870528"/>
        <c:scaling>
          <c:orientation val="minMax"/>
          <c:max val="160"/>
          <c:min val="20"/>
        </c:scaling>
        <c:delete val="0"/>
        <c:axPos val="r"/>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Calibri"/>
                <a:ea typeface="Calibri"/>
                <a:cs typeface="Calibri"/>
              </a:defRPr>
            </a:pPr>
            <a:endParaRPr lang="ru-RU"/>
          </a:p>
        </c:txPr>
        <c:crossAx val="178868992"/>
        <c:crosses val="max"/>
        <c:crossBetween val="between"/>
        <c:majorUnit val="20"/>
      </c:valAx>
      <c:spPr>
        <a:solidFill>
          <a:srgbClr val="FFFFFF"/>
        </a:solidFill>
        <a:ln w="18945">
          <a:noFill/>
        </a:ln>
      </c:spPr>
    </c:plotArea>
    <c:legend>
      <c:legendPos val="r"/>
      <c:layout>
        <c:manualLayout>
          <c:xMode val="edge"/>
          <c:yMode val="edge"/>
          <c:x val="4.2190246057559257E-2"/>
          <c:y val="0.90583199244616563"/>
          <c:w val="0.90266862190007324"/>
          <c:h val="8.9947226694243598E-2"/>
        </c:manualLayout>
      </c:layout>
      <c:overlay val="0"/>
      <c:spPr>
        <a:noFill/>
        <a:ln w="18945">
          <a:noFill/>
        </a:ln>
      </c:spPr>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749664938712605E-2"/>
          <c:y val="5.0760302090023031E-2"/>
          <c:w val="0.85243598999589221"/>
          <c:h val="0.78823209818585105"/>
        </c:manualLayout>
      </c:layout>
      <c:barChart>
        <c:barDir val="col"/>
        <c:grouping val="clustered"/>
        <c:varyColors val="0"/>
        <c:ser>
          <c:idx val="0"/>
          <c:order val="0"/>
          <c:tx>
            <c:strRef>
              <c:f>Лист1!$B$1</c:f>
              <c:strCache>
                <c:ptCount val="1"/>
                <c:pt idx="0">
                  <c:v>объем инвестиций</c:v>
                </c:pt>
              </c:strCache>
            </c:strRef>
          </c:tx>
          <c:spPr>
            <a:pattFill prst="narVert">
              <a:fgClr>
                <a:schemeClr val="bg1">
                  <a:lumMod val="95000"/>
                </a:schemeClr>
              </a:fgClr>
              <a:bgClr>
                <a:schemeClr val="accent1">
                  <a:lumMod val="75000"/>
                </a:schemeClr>
              </a:bgClr>
            </a:pattFill>
            <a:ln>
              <a:solidFill>
                <a:schemeClr val="accent1">
                  <a:lumMod val="75000"/>
                </a:schemeClr>
              </a:solidFill>
            </a:ln>
          </c:spPr>
          <c:invertIfNegative val="0"/>
          <c:dLbls>
            <c:dLbl>
              <c:idx val="0"/>
              <c:layout>
                <c:manualLayout>
                  <c:x val="-2.0770120072554771E-3"/>
                  <c:y val="0.3289945098915103"/>
                </c:manualLayout>
              </c:layout>
              <c:showLegendKey val="0"/>
              <c:showVal val="1"/>
              <c:showCatName val="0"/>
              <c:showSerName val="0"/>
              <c:showPercent val="0"/>
              <c:showBubbleSize val="0"/>
            </c:dLbl>
            <c:dLbl>
              <c:idx val="1"/>
              <c:layout>
                <c:manualLayout>
                  <c:x val="0"/>
                  <c:y val="0.37666564297360833"/>
                </c:manualLayout>
              </c:layout>
              <c:showLegendKey val="0"/>
              <c:showVal val="1"/>
              <c:showCatName val="0"/>
              <c:showSerName val="0"/>
              <c:showPercent val="0"/>
              <c:showBubbleSize val="0"/>
            </c:dLbl>
            <c:dLbl>
              <c:idx val="2"/>
              <c:layout>
                <c:manualLayout>
                  <c:x val="0"/>
                  <c:y val="0.35980497473078488"/>
                </c:manualLayout>
              </c:layout>
              <c:showLegendKey val="0"/>
              <c:showVal val="1"/>
              <c:showCatName val="0"/>
              <c:showSerName val="0"/>
              <c:showPercent val="0"/>
              <c:showBubbleSize val="0"/>
            </c:dLbl>
            <c:dLbl>
              <c:idx val="3"/>
              <c:layout>
                <c:manualLayout>
                  <c:x val="1.3571629779618106E-3"/>
                  <c:y val="0.37962024311068265"/>
                </c:manualLayout>
              </c:layout>
              <c:showLegendKey val="0"/>
              <c:showVal val="1"/>
              <c:showCatName val="0"/>
              <c:showSerName val="0"/>
              <c:showPercent val="0"/>
              <c:showBubbleSize val="0"/>
            </c:dLbl>
            <c:dLbl>
              <c:idx val="4"/>
              <c:layout>
                <c:manualLayout>
                  <c:x val="-1.0686322651164204E-7"/>
                  <c:y val="0.35792765779007213"/>
                </c:manualLayout>
              </c:layout>
              <c:showLegendKey val="0"/>
              <c:showVal val="1"/>
              <c:showCatName val="0"/>
              <c:showSerName val="0"/>
              <c:showPercent val="0"/>
              <c:showBubbleSize val="0"/>
            </c:dLbl>
            <c:dLbl>
              <c:idx val="5"/>
              <c:layout>
                <c:manualLayout>
                  <c:x val="-7.6156227169465903E-17"/>
                  <c:y val="0.35788378900720641"/>
                </c:manualLayout>
              </c:layout>
              <c:showLegendKey val="0"/>
              <c:showVal val="1"/>
              <c:showCatName val="0"/>
              <c:showSerName val="0"/>
              <c:showPercent val="0"/>
              <c:showBubbleSize val="0"/>
            </c:dLbl>
            <c:dLbl>
              <c:idx val="6"/>
              <c:layout>
                <c:manualLayout>
                  <c:x val="0"/>
                  <c:y val="0.40427613202665907"/>
                </c:manualLayout>
              </c:layout>
              <c:showLegendKey val="0"/>
              <c:showVal val="1"/>
              <c:showCatName val="0"/>
              <c:showSerName val="0"/>
              <c:showPercent val="0"/>
              <c:showBubbleSize val="0"/>
            </c:dLbl>
            <c:dLbl>
              <c:idx val="7"/>
              <c:layout>
                <c:manualLayout>
                  <c:x val="2.0770120072554771E-3"/>
                  <c:y val="0.43409978111059305"/>
                </c:manualLayout>
              </c:layout>
              <c:showLegendKey val="0"/>
              <c:showVal val="1"/>
              <c:showCatName val="0"/>
              <c:showSerName val="0"/>
              <c:showPercent val="0"/>
              <c:showBubbleSize val="0"/>
            </c:dLbl>
            <c:dLbl>
              <c:idx val="8"/>
              <c:layout>
                <c:manualLayout>
                  <c:x val="-2.712673611111111E-3"/>
                  <c:y val="5.2482201508512114E-2"/>
                </c:manualLayout>
              </c:layout>
              <c:tx>
                <c:rich>
                  <a:bodyPr/>
                  <a:lstStyle/>
                  <a:p>
                    <a:r>
                      <a:rPr lang="en-US" sz="1050">
                        <a:solidFill>
                          <a:sysClr val="windowText" lastClr="000000"/>
                        </a:solidFill>
                      </a:rPr>
                      <a:t>71,5</a:t>
                    </a:r>
                    <a:endParaRPr lang="en-US">
                      <a:solidFill>
                        <a:schemeClr val="bg1"/>
                      </a:solidFill>
                    </a:endParaRPr>
                  </a:p>
                </c:rich>
              </c:tx>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spPr>
              <a:solidFill>
                <a:schemeClr val="bg1"/>
              </a:solidFill>
              <a:ln w="3175">
                <a:solidFill>
                  <a:schemeClr val="tx1"/>
                </a:solidFill>
              </a:ln>
            </c:spPr>
            <c:txPr>
              <a:bodyPr rot="0" vert="horz"/>
              <a:lstStyle/>
              <a:p>
                <a:pPr>
                  <a:defRPr sz="1050" b="1">
                    <a:solidFill>
                      <a:sysClr val="windowText" lastClr="000000"/>
                    </a:solidFill>
                  </a:defRPr>
                </a:pPr>
                <a:endParaRPr lang="ru-RU"/>
              </a:p>
            </c:txPr>
            <c:showLegendKey val="0"/>
            <c:showVal val="1"/>
            <c:showCatName val="0"/>
            <c:showSerName val="0"/>
            <c:showPercent val="0"/>
            <c:showBubbleSize val="0"/>
            <c:showLeaderLines val="0"/>
          </c:dLbls>
          <c:cat>
            <c:strRef>
              <c:f>Лист1!$A$2:$A$9</c:f>
              <c:strCache>
                <c:ptCount val="8"/>
                <c:pt idx="0">
                  <c:v>2018 год</c:v>
                </c:pt>
                <c:pt idx="1">
                  <c:v>2019 год</c:v>
                </c:pt>
                <c:pt idx="2">
                  <c:v>2020 год</c:v>
                </c:pt>
                <c:pt idx="3">
                  <c:v>2021 год</c:v>
                </c:pt>
                <c:pt idx="4">
                  <c:v>2022 год</c:v>
                </c:pt>
                <c:pt idx="5">
                  <c:v>2023 год</c:v>
                </c:pt>
                <c:pt idx="6">
                  <c:v>2024 год</c:v>
                </c:pt>
                <c:pt idx="7">
                  <c:v>2025 год</c:v>
                </c:pt>
              </c:strCache>
            </c:strRef>
          </c:cat>
          <c:val>
            <c:numRef>
              <c:f>Лист1!$B$2:$B$9</c:f>
              <c:numCache>
                <c:formatCode>#,##0.0</c:formatCode>
                <c:ptCount val="8"/>
                <c:pt idx="0">
                  <c:v>18573.3</c:v>
                </c:pt>
                <c:pt idx="1">
                  <c:v>17549</c:v>
                </c:pt>
                <c:pt idx="2">
                  <c:v>19765.7</c:v>
                </c:pt>
                <c:pt idx="3">
                  <c:v>20761.3</c:v>
                </c:pt>
                <c:pt idx="4">
                  <c:v>21634.2</c:v>
                </c:pt>
                <c:pt idx="5">
                  <c:v>22811.9</c:v>
                </c:pt>
                <c:pt idx="6">
                  <c:v>24172.9</c:v>
                </c:pt>
                <c:pt idx="7">
                  <c:v>25590.5</c:v>
                </c:pt>
              </c:numCache>
            </c:numRef>
          </c:val>
        </c:ser>
        <c:dLbls>
          <c:showLegendKey val="0"/>
          <c:showVal val="0"/>
          <c:showCatName val="0"/>
          <c:showSerName val="0"/>
          <c:showPercent val="0"/>
          <c:showBubbleSize val="0"/>
        </c:dLbls>
        <c:gapWidth val="13"/>
        <c:overlap val="-9"/>
        <c:axId val="179492736"/>
        <c:axId val="179494272"/>
      </c:barChart>
      <c:lineChart>
        <c:grouping val="standard"/>
        <c:varyColors val="0"/>
        <c:ser>
          <c:idx val="1"/>
          <c:order val="1"/>
          <c:tx>
            <c:strRef>
              <c:f>Лист1!$C$1</c:f>
              <c:strCache>
                <c:ptCount val="1"/>
                <c:pt idx="0">
                  <c:v>темп роста (в сопоставимых ценах)</c:v>
                </c:pt>
              </c:strCache>
            </c:strRef>
          </c:tx>
          <c:spPr>
            <a:ln w="22225">
              <a:solidFill>
                <a:schemeClr val="accent1">
                  <a:lumMod val="75000"/>
                </a:schemeClr>
              </a:solidFill>
              <a:prstDash val="sysDash"/>
            </a:ln>
          </c:spPr>
          <c:marker>
            <c:symbol val="triangle"/>
            <c:size val="38"/>
            <c:spPr>
              <a:solidFill>
                <a:schemeClr val="accent1">
                  <a:lumMod val="20000"/>
                  <a:lumOff val="80000"/>
                </a:schemeClr>
              </a:solidFill>
              <a:ln w="9525">
                <a:solidFill>
                  <a:schemeClr val="accent1">
                    <a:lumMod val="50000"/>
                  </a:schemeClr>
                </a:solidFill>
              </a:ln>
            </c:spPr>
          </c:marker>
          <c:dLbls>
            <c:dLbl>
              <c:idx val="0"/>
              <c:layout>
                <c:manualLayout>
                  <c:x val="-7.5139098475391408E-2"/>
                  <c:y val="4.6969344568823478E-2"/>
                </c:manualLayout>
              </c:layout>
              <c:showLegendKey val="0"/>
              <c:showVal val="1"/>
              <c:showCatName val="0"/>
              <c:showSerName val="0"/>
              <c:showPercent val="0"/>
              <c:showBubbleSize val="0"/>
            </c:dLbl>
            <c:dLbl>
              <c:idx val="1"/>
              <c:layout>
                <c:manualLayout>
                  <c:x val="-7.7853442434794501E-2"/>
                  <c:y val="5.1643249232666895E-2"/>
                </c:manualLayout>
              </c:layout>
              <c:showLegendKey val="0"/>
              <c:showVal val="1"/>
              <c:showCatName val="0"/>
              <c:showSerName val="0"/>
              <c:showPercent val="0"/>
              <c:showBubbleSize val="0"/>
            </c:dLbl>
            <c:dLbl>
              <c:idx val="2"/>
              <c:layout>
                <c:manualLayout>
                  <c:x val="-6.9519227325366265E-2"/>
                  <c:y val="4.3345990464032362E-2"/>
                </c:manualLayout>
              </c:layout>
              <c:showLegendKey val="0"/>
              <c:showVal val="1"/>
              <c:showCatName val="0"/>
              <c:showSerName val="0"/>
              <c:showPercent val="0"/>
              <c:showBubbleSize val="0"/>
            </c:dLbl>
            <c:dLbl>
              <c:idx val="3"/>
              <c:layout>
                <c:manualLayout>
                  <c:x val="-7.6552447905840385E-2"/>
                  <c:y val="4.6659667351789398E-2"/>
                </c:manualLayout>
              </c:layout>
              <c:showLegendKey val="0"/>
              <c:showVal val="1"/>
              <c:showCatName val="0"/>
              <c:showSerName val="0"/>
              <c:showPercent val="0"/>
              <c:showBubbleSize val="0"/>
            </c:dLbl>
            <c:dLbl>
              <c:idx val="4"/>
              <c:layout>
                <c:manualLayout>
                  <c:x val="-7.863027763435855E-2"/>
                  <c:y val="4.6659667351789398E-2"/>
                </c:manualLayout>
              </c:layout>
              <c:showLegendKey val="0"/>
              <c:showVal val="1"/>
              <c:showCatName val="0"/>
              <c:showSerName val="0"/>
              <c:showPercent val="0"/>
              <c:showBubbleSize val="0"/>
            </c:dLbl>
            <c:dLbl>
              <c:idx val="5"/>
              <c:layout>
                <c:manualLayout>
                  <c:x val="-7.1124577708296916E-2"/>
                  <c:y val="4.9403969356328716E-2"/>
                </c:manualLayout>
              </c:layout>
              <c:showLegendKey val="0"/>
              <c:showVal val="1"/>
              <c:showCatName val="0"/>
              <c:showSerName val="0"/>
              <c:showPercent val="0"/>
              <c:showBubbleSize val="0"/>
            </c:dLbl>
            <c:dLbl>
              <c:idx val="6"/>
              <c:layout>
                <c:manualLayout>
                  <c:x val="-7.0404001731606547E-2"/>
                  <c:y val="4.5634596563758879E-2"/>
                </c:manualLayout>
              </c:layout>
              <c:showLegendKey val="0"/>
              <c:showVal val="1"/>
              <c:showCatName val="0"/>
              <c:showSerName val="0"/>
              <c:showPercent val="0"/>
              <c:showBubbleSize val="0"/>
            </c:dLbl>
            <c:dLbl>
              <c:idx val="7"/>
              <c:layout>
                <c:manualLayout>
                  <c:x val="-7.8712049760628455E-2"/>
                  <c:y val="4.8569016859768485E-2"/>
                </c:manualLayout>
              </c:layout>
              <c:showLegendKey val="0"/>
              <c:showVal val="1"/>
              <c:showCatName val="0"/>
              <c:showSerName val="0"/>
              <c:showPercent val="0"/>
              <c:showBubbleSize val="0"/>
            </c:dLbl>
            <c:dLbl>
              <c:idx val="8"/>
              <c:layout>
                <c:manualLayout>
                  <c:x val="-4.3402777777777776E-2"/>
                  <c:y val="0"/>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txPr>
              <a:bodyPr/>
              <a:lstStyle/>
              <a:p>
                <a:pPr>
                  <a:defRPr sz="1100" b="1" i="1"/>
                </a:pPr>
                <a:endParaRPr lang="ru-RU"/>
              </a:p>
            </c:txPr>
            <c:showLegendKey val="0"/>
            <c:showVal val="1"/>
            <c:showCatName val="0"/>
            <c:showSerName val="0"/>
            <c:showPercent val="0"/>
            <c:showBubbleSize val="0"/>
            <c:showLeaderLines val="0"/>
          </c:dLbls>
          <c:cat>
            <c:strRef>
              <c:f>Лист1!$A$2:$A$9</c:f>
              <c:strCache>
                <c:ptCount val="8"/>
                <c:pt idx="0">
                  <c:v>2018 год</c:v>
                </c:pt>
                <c:pt idx="1">
                  <c:v>2019 год</c:v>
                </c:pt>
                <c:pt idx="2">
                  <c:v>2020 год</c:v>
                </c:pt>
                <c:pt idx="3">
                  <c:v>2021 год</c:v>
                </c:pt>
                <c:pt idx="4">
                  <c:v>2022 год</c:v>
                </c:pt>
                <c:pt idx="5">
                  <c:v>2023 год</c:v>
                </c:pt>
                <c:pt idx="6">
                  <c:v>2024 год</c:v>
                </c:pt>
                <c:pt idx="7">
                  <c:v>2025 год</c:v>
                </c:pt>
              </c:strCache>
            </c:strRef>
          </c:cat>
          <c:val>
            <c:numRef>
              <c:f>Лист1!$C$2:$C$9</c:f>
              <c:numCache>
                <c:formatCode>#,##0.0</c:formatCode>
                <c:ptCount val="8"/>
                <c:pt idx="0">
                  <c:v>118.9</c:v>
                </c:pt>
                <c:pt idx="1">
                  <c:v>89.9</c:v>
                </c:pt>
                <c:pt idx="2">
                  <c:v>108.3</c:v>
                </c:pt>
                <c:pt idx="3">
                  <c:v>100.9</c:v>
                </c:pt>
                <c:pt idx="4">
                  <c:v>100.1</c:v>
                </c:pt>
                <c:pt idx="5">
                  <c:v>101</c:v>
                </c:pt>
                <c:pt idx="6">
                  <c:v>101.5</c:v>
                </c:pt>
                <c:pt idx="7">
                  <c:v>101.5</c:v>
                </c:pt>
              </c:numCache>
            </c:numRef>
          </c:val>
          <c:smooth val="0"/>
        </c:ser>
        <c:dLbls>
          <c:showLegendKey val="0"/>
          <c:showVal val="0"/>
          <c:showCatName val="0"/>
          <c:showSerName val="0"/>
          <c:showPercent val="0"/>
          <c:showBubbleSize val="0"/>
        </c:dLbls>
        <c:marker val="1"/>
        <c:smooth val="0"/>
        <c:axId val="179375104"/>
        <c:axId val="179373184"/>
      </c:lineChart>
      <c:catAx>
        <c:axId val="179492736"/>
        <c:scaling>
          <c:orientation val="minMax"/>
        </c:scaling>
        <c:delete val="0"/>
        <c:axPos val="b"/>
        <c:numFmt formatCode="General" sourceLinked="1"/>
        <c:majorTickMark val="out"/>
        <c:minorTickMark val="none"/>
        <c:tickLblPos val="nextTo"/>
        <c:txPr>
          <a:bodyPr/>
          <a:lstStyle/>
          <a:p>
            <a:pPr>
              <a:defRPr sz="900" b="0"/>
            </a:pPr>
            <a:endParaRPr lang="ru-RU"/>
          </a:p>
        </c:txPr>
        <c:crossAx val="179494272"/>
        <c:crosses val="autoZero"/>
        <c:auto val="1"/>
        <c:lblAlgn val="ctr"/>
        <c:lblOffset val="100"/>
        <c:noMultiLvlLbl val="0"/>
      </c:catAx>
      <c:valAx>
        <c:axId val="179494272"/>
        <c:scaling>
          <c:orientation val="minMax"/>
        </c:scaling>
        <c:delete val="0"/>
        <c:axPos val="l"/>
        <c:majorGridlines>
          <c:spPr>
            <a:ln>
              <a:solidFill>
                <a:schemeClr val="bg1">
                  <a:lumMod val="85000"/>
                </a:schemeClr>
              </a:solidFill>
              <a:prstDash val="sysDot"/>
            </a:ln>
          </c:spPr>
        </c:majorGridlines>
        <c:title>
          <c:tx>
            <c:rich>
              <a:bodyPr rot="0" vert="horz"/>
              <a:lstStyle/>
              <a:p>
                <a:pPr>
                  <a:defRPr sz="1200" i="1"/>
                </a:pPr>
                <a:r>
                  <a:rPr lang="ru-RU" sz="1200" b="0" i="1"/>
                  <a:t>млн.руб.</a:t>
                </a:r>
              </a:p>
            </c:rich>
          </c:tx>
          <c:layout>
            <c:manualLayout>
              <c:xMode val="edge"/>
              <c:yMode val="edge"/>
              <c:x val="0.13747562577346212"/>
              <c:y val="1.4006599797431959E-3"/>
            </c:manualLayout>
          </c:layout>
          <c:overlay val="0"/>
        </c:title>
        <c:numFmt formatCode="#,##0.0" sourceLinked="1"/>
        <c:majorTickMark val="out"/>
        <c:minorTickMark val="none"/>
        <c:tickLblPos val="nextTo"/>
        <c:txPr>
          <a:bodyPr/>
          <a:lstStyle/>
          <a:p>
            <a:pPr>
              <a:defRPr sz="700"/>
            </a:pPr>
            <a:endParaRPr lang="ru-RU"/>
          </a:p>
        </c:txPr>
        <c:crossAx val="179492736"/>
        <c:crosses val="autoZero"/>
        <c:crossBetween val="between"/>
      </c:valAx>
      <c:valAx>
        <c:axId val="179373184"/>
        <c:scaling>
          <c:orientation val="minMax"/>
        </c:scaling>
        <c:delete val="0"/>
        <c:axPos val="r"/>
        <c:title>
          <c:tx>
            <c:rich>
              <a:bodyPr rot="0" vert="horz"/>
              <a:lstStyle/>
              <a:p>
                <a:pPr>
                  <a:defRPr sz="1200" b="0" i="1"/>
                </a:pPr>
                <a:r>
                  <a:rPr lang="ru-RU" sz="1200" b="0" i="1"/>
                  <a:t>%</a:t>
                </a:r>
              </a:p>
            </c:rich>
          </c:tx>
          <c:layout>
            <c:manualLayout>
              <c:xMode val="edge"/>
              <c:yMode val="edge"/>
              <c:x val="0.86999916428886948"/>
              <c:y val="2.6693240108471919E-3"/>
            </c:manualLayout>
          </c:layout>
          <c:overlay val="0"/>
        </c:title>
        <c:numFmt formatCode="#,##0.0" sourceLinked="1"/>
        <c:majorTickMark val="out"/>
        <c:minorTickMark val="none"/>
        <c:tickLblPos val="nextTo"/>
        <c:txPr>
          <a:bodyPr/>
          <a:lstStyle/>
          <a:p>
            <a:pPr>
              <a:defRPr sz="800"/>
            </a:pPr>
            <a:endParaRPr lang="ru-RU"/>
          </a:p>
        </c:txPr>
        <c:crossAx val="179375104"/>
        <c:crosses val="max"/>
        <c:crossBetween val="between"/>
      </c:valAx>
      <c:catAx>
        <c:axId val="179375104"/>
        <c:scaling>
          <c:orientation val="minMax"/>
        </c:scaling>
        <c:delete val="1"/>
        <c:axPos val="b"/>
        <c:numFmt formatCode="General" sourceLinked="1"/>
        <c:majorTickMark val="out"/>
        <c:minorTickMark val="none"/>
        <c:tickLblPos val="nextTo"/>
        <c:crossAx val="179373184"/>
        <c:crosses val="autoZero"/>
        <c:auto val="1"/>
        <c:lblAlgn val="ctr"/>
        <c:lblOffset val="100"/>
        <c:noMultiLvlLbl val="0"/>
      </c:catAx>
      <c:spPr>
        <a:noFill/>
      </c:spPr>
    </c:plotArea>
    <c:legend>
      <c:legendPos val="b"/>
      <c:layout>
        <c:manualLayout>
          <c:xMode val="edge"/>
          <c:yMode val="edge"/>
          <c:x val="2.1763160773976446E-2"/>
          <c:y val="0.933992775632698"/>
          <c:w val="0.96124095599161219"/>
          <c:h val="4.8761084379342658E-2"/>
        </c:manualLayout>
      </c:layout>
      <c:overlay val="0"/>
      <c:txPr>
        <a:bodyPr/>
        <a:lstStyle/>
        <a:p>
          <a:pPr>
            <a:defRPr sz="1050"/>
          </a:pPr>
          <a:endParaRPr lang="ru-RU"/>
        </a:p>
      </c:txPr>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302186283318357E-2"/>
          <c:y val="0.105270246196601"/>
          <c:w val="0.85340920435260059"/>
          <c:h val="0.72060274831570348"/>
        </c:manualLayout>
      </c:layout>
      <c:barChart>
        <c:barDir val="col"/>
        <c:grouping val="clustered"/>
        <c:varyColors val="0"/>
        <c:ser>
          <c:idx val="0"/>
          <c:order val="0"/>
          <c:tx>
            <c:strRef>
              <c:f>Лист1!$B$1</c:f>
              <c:strCache>
                <c:ptCount val="1"/>
                <c:pt idx="0">
                  <c:v>ввод жилья тыс.кв.м</c:v>
                </c:pt>
              </c:strCache>
            </c:strRef>
          </c:tx>
          <c:spPr>
            <a:pattFill prst="horzBrick">
              <a:fgClr>
                <a:schemeClr val="tx2">
                  <a:lumMod val="50000"/>
                </a:schemeClr>
              </a:fgClr>
              <a:bgClr>
                <a:srgbClr val="FFFFCC"/>
              </a:bgClr>
            </a:pattFill>
            <a:ln w="15875">
              <a:solidFill>
                <a:schemeClr val="accent1">
                  <a:lumMod val="50000"/>
                  <a:alpha val="52000"/>
                </a:schemeClr>
              </a:solidFill>
            </a:ln>
          </c:spPr>
          <c:invertIfNegative val="0"/>
          <c:dLbls>
            <c:dLbl>
              <c:idx val="0"/>
              <c:layout>
                <c:manualLayout>
                  <c:x val="0"/>
                  <c:y val="0.38810163369030098"/>
                </c:manualLayout>
              </c:layout>
              <c:showLegendKey val="0"/>
              <c:showVal val="1"/>
              <c:showCatName val="0"/>
              <c:showSerName val="0"/>
              <c:showPercent val="0"/>
              <c:showBubbleSize val="0"/>
            </c:dLbl>
            <c:dLbl>
              <c:idx val="1"/>
              <c:layout>
                <c:manualLayout>
                  <c:x val="-2.1424297082713976E-5"/>
                  <c:y val="0.26815393381043368"/>
                </c:manualLayout>
              </c:layout>
              <c:showLegendKey val="0"/>
              <c:showVal val="1"/>
              <c:showCatName val="0"/>
              <c:showSerName val="0"/>
              <c:showPercent val="0"/>
              <c:showBubbleSize val="0"/>
            </c:dLbl>
            <c:dLbl>
              <c:idx val="2"/>
              <c:layout>
                <c:manualLayout>
                  <c:x val="2.1424297082713976E-5"/>
                  <c:y val="0.24800798782315736"/>
                </c:manualLayout>
              </c:layout>
              <c:showLegendKey val="0"/>
              <c:showVal val="1"/>
              <c:showCatName val="0"/>
              <c:showSerName val="0"/>
              <c:showPercent val="0"/>
              <c:showBubbleSize val="0"/>
            </c:dLbl>
            <c:dLbl>
              <c:idx val="3"/>
              <c:layout>
                <c:manualLayout>
                  <c:x val="0"/>
                  <c:y val="0.24253336542946283"/>
                </c:manualLayout>
              </c:layout>
              <c:showLegendKey val="0"/>
              <c:showVal val="1"/>
              <c:showCatName val="0"/>
              <c:showSerName val="0"/>
              <c:showPercent val="0"/>
              <c:showBubbleSize val="0"/>
            </c:dLbl>
            <c:dLbl>
              <c:idx val="4"/>
              <c:layout>
                <c:manualLayout>
                  <c:x val="0"/>
                  <c:y val="0.24109009423975544"/>
                </c:manualLayout>
              </c:layout>
              <c:showLegendKey val="0"/>
              <c:showVal val="1"/>
              <c:showCatName val="0"/>
              <c:showSerName val="0"/>
              <c:showPercent val="0"/>
              <c:showBubbleSize val="0"/>
            </c:dLbl>
            <c:dLbl>
              <c:idx val="5"/>
              <c:layout>
                <c:manualLayout>
                  <c:x val="-2.0770120072554771E-3"/>
                  <c:y val="0.23774162070864768"/>
                </c:manualLayout>
              </c:layout>
              <c:showLegendKey val="0"/>
              <c:showVal val="1"/>
              <c:showCatName val="0"/>
              <c:showSerName val="0"/>
              <c:showPercent val="0"/>
              <c:showBubbleSize val="0"/>
            </c:dLbl>
            <c:dLbl>
              <c:idx val="6"/>
              <c:layout>
                <c:manualLayout>
                  <c:x val="0"/>
                  <c:y val="0.2310446736464323"/>
                </c:manualLayout>
              </c:layout>
              <c:showLegendKey val="0"/>
              <c:showVal val="1"/>
              <c:showCatName val="0"/>
              <c:showSerName val="0"/>
              <c:showPercent val="0"/>
              <c:showBubbleSize val="0"/>
            </c:dLbl>
            <c:dLbl>
              <c:idx val="7"/>
              <c:layout>
                <c:manualLayout>
                  <c:x val="0"/>
                  <c:y val="0.22769593645599137"/>
                </c:manualLayout>
              </c:layout>
              <c:showLegendKey val="0"/>
              <c:showVal val="1"/>
              <c:showCatName val="0"/>
              <c:showSerName val="0"/>
              <c:showPercent val="0"/>
              <c:showBubbleSize val="0"/>
            </c:dLbl>
            <c:dLbl>
              <c:idx val="8"/>
              <c:layout>
                <c:manualLayout>
                  <c:x val="-2.712621595010979E-3"/>
                  <c:y val="0.21375752207613269"/>
                </c:manualLayout>
              </c:layout>
              <c:tx>
                <c:rich>
                  <a:bodyPr/>
                  <a:lstStyle/>
                  <a:p>
                    <a:pPr>
                      <a:defRPr sz="1100" b="1">
                        <a:solidFill>
                          <a:sysClr val="windowText" lastClr="000000"/>
                        </a:solidFill>
                      </a:defRPr>
                    </a:pPr>
                    <a:r>
                      <a:rPr lang="ru-RU" sz="1100" b="1">
                        <a:solidFill>
                          <a:sysClr val="windowText" lastClr="000000"/>
                        </a:solidFill>
                      </a:rPr>
                      <a:t>235,0</a:t>
                    </a:r>
                    <a:endParaRPr lang="en-US">
                      <a:solidFill>
                        <a:sysClr val="windowText" lastClr="000000"/>
                      </a:solidFill>
                    </a:endParaRPr>
                  </a:p>
                </c:rich>
              </c:tx>
              <c:numFmt formatCode="#,##0.0" sourceLinked="0"/>
              <c:spPr>
                <a:solidFill>
                  <a:schemeClr val="bg1"/>
                </a:solidFill>
                <a:ln>
                  <a:solidFill>
                    <a:schemeClr val="accent1">
                      <a:lumMod val="50000"/>
                    </a:schemeClr>
                  </a:solidFill>
                </a:ln>
              </c:spPr>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numFmt formatCode="#,##0.0" sourceLinked="0"/>
            <c:spPr>
              <a:solidFill>
                <a:schemeClr val="bg1"/>
              </a:solidFill>
              <a:ln>
                <a:solidFill>
                  <a:schemeClr val="accent1">
                    <a:lumMod val="50000"/>
                  </a:schemeClr>
                </a:solidFill>
              </a:ln>
            </c:spPr>
            <c:txPr>
              <a:bodyPr/>
              <a:lstStyle/>
              <a:p>
                <a:pPr>
                  <a:defRPr sz="1100" b="1"/>
                </a:pPr>
                <a:endParaRPr lang="ru-RU"/>
              </a:p>
            </c:txPr>
            <c:showLegendKey val="0"/>
            <c:showVal val="1"/>
            <c:showCatName val="0"/>
            <c:showSerName val="0"/>
            <c:showPercent val="0"/>
            <c:showBubbleSize val="0"/>
            <c:showLeaderLines val="0"/>
          </c:dLbls>
          <c:cat>
            <c:strRef>
              <c:f>Лист1!$A$2:$A$10</c:f>
              <c:strCache>
                <c:ptCount val="9"/>
                <c:pt idx="0">
                  <c:v>2017 год</c:v>
                </c:pt>
                <c:pt idx="1">
                  <c:v>2018 год</c:v>
                </c:pt>
                <c:pt idx="2">
                  <c:v>2019 год</c:v>
                </c:pt>
                <c:pt idx="3">
                  <c:v>2020 год</c:v>
                </c:pt>
                <c:pt idx="4">
                  <c:v>2021 год</c:v>
                </c:pt>
                <c:pt idx="5">
                  <c:v>2022 год</c:v>
                </c:pt>
                <c:pt idx="6">
                  <c:v>2023 год</c:v>
                </c:pt>
                <c:pt idx="7">
                  <c:v>2024 год</c:v>
                </c:pt>
                <c:pt idx="8">
                  <c:v>2025 год</c:v>
                </c:pt>
              </c:strCache>
            </c:strRef>
          </c:cat>
          <c:val>
            <c:numRef>
              <c:f>Лист1!$B$2:$B$10</c:f>
              <c:numCache>
                <c:formatCode>General</c:formatCode>
                <c:ptCount val="9"/>
                <c:pt idx="0">
                  <c:v>331</c:v>
                </c:pt>
                <c:pt idx="1">
                  <c:v>214.9</c:v>
                </c:pt>
                <c:pt idx="2">
                  <c:v>215</c:v>
                </c:pt>
                <c:pt idx="3">
                  <c:v>217</c:v>
                </c:pt>
                <c:pt idx="4">
                  <c:v>220</c:v>
                </c:pt>
                <c:pt idx="5">
                  <c:v>225</c:v>
                </c:pt>
                <c:pt idx="6">
                  <c:v>229</c:v>
                </c:pt>
                <c:pt idx="7">
                  <c:v>231</c:v>
                </c:pt>
                <c:pt idx="8">
                  <c:v>235</c:v>
                </c:pt>
              </c:numCache>
            </c:numRef>
          </c:val>
        </c:ser>
        <c:dLbls>
          <c:showLegendKey val="0"/>
          <c:showVal val="0"/>
          <c:showCatName val="0"/>
          <c:showSerName val="0"/>
          <c:showPercent val="0"/>
          <c:showBubbleSize val="0"/>
        </c:dLbls>
        <c:gapWidth val="51"/>
        <c:axId val="179423104"/>
        <c:axId val="179424640"/>
      </c:barChart>
      <c:lineChart>
        <c:grouping val="standard"/>
        <c:varyColors val="0"/>
        <c:ser>
          <c:idx val="1"/>
          <c:order val="1"/>
          <c:tx>
            <c:strRef>
              <c:f>Лист1!$C$1</c:f>
              <c:strCache>
                <c:ptCount val="1"/>
                <c:pt idx="0">
                  <c:v>темп роста, %</c:v>
                </c:pt>
              </c:strCache>
            </c:strRef>
          </c:tx>
          <c:spPr>
            <a:ln w="19050">
              <a:solidFill>
                <a:schemeClr val="bg2">
                  <a:lumMod val="10000"/>
                </a:schemeClr>
              </a:solidFill>
              <a:prstDash val="sysDash"/>
            </a:ln>
          </c:spPr>
          <c:marker>
            <c:symbol val="square"/>
            <c:size val="29"/>
            <c:spPr>
              <a:solidFill>
                <a:srgbClr val="5A5434">
                  <a:alpha val="94902"/>
                </a:srgbClr>
              </a:solidFill>
              <a:ln>
                <a:solidFill>
                  <a:schemeClr val="bg2">
                    <a:lumMod val="50000"/>
                  </a:schemeClr>
                </a:solidFill>
              </a:ln>
            </c:spPr>
          </c:marker>
          <c:dLbls>
            <c:dLbl>
              <c:idx val="0"/>
              <c:layout>
                <c:manualLayout>
                  <c:x val="-5.7634594303035719E-2"/>
                  <c:y val="3.5812997768631597E-4"/>
                </c:manualLayout>
              </c:layout>
              <c:showLegendKey val="0"/>
              <c:showVal val="1"/>
              <c:showCatName val="0"/>
              <c:showSerName val="0"/>
              <c:showPercent val="0"/>
              <c:showBubbleSize val="0"/>
            </c:dLbl>
            <c:dLbl>
              <c:idx val="1"/>
              <c:layout>
                <c:manualLayout>
                  <c:x val="-5.169876291881239E-2"/>
                  <c:y val="-3.2113583020287593E-3"/>
                </c:manualLayout>
              </c:layout>
              <c:showLegendKey val="0"/>
              <c:showVal val="1"/>
              <c:showCatName val="0"/>
              <c:showSerName val="0"/>
              <c:showPercent val="0"/>
              <c:showBubbleSize val="0"/>
            </c:dLbl>
            <c:dLbl>
              <c:idx val="2"/>
              <c:layout>
                <c:manualLayout>
                  <c:x val="-6.3857979479448462E-2"/>
                  <c:y val="4.4476505190710483E-3"/>
                </c:manualLayout>
              </c:layout>
              <c:showLegendKey val="0"/>
              <c:showVal val="1"/>
              <c:showCatName val="0"/>
              <c:showSerName val="0"/>
              <c:showPercent val="0"/>
              <c:showBubbleSize val="0"/>
            </c:dLbl>
            <c:dLbl>
              <c:idx val="3"/>
              <c:layout>
                <c:manualLayout>
                  <c:x val="-5.6332835753731034E-2"/>
                  <c:y val="1.4898349469355324E-3"/>
                </c:manualLayout>
              </c:layout>
              <c:showLegendKey val="0"/>
              <c:showVal val="1"/>
              <c:showCatName val="0"/>
              <c:showSerName val="0"/>
              <c:showPercent val="0"/>
              <c:showBubbleSize val="0"/>
            </c:dLbl>
            <c:dLbl>
              <c:idx val="4"/>
              <c:layout>
                <c:manualLayout>
                  <c:x val="-6.3736065593290606E-2"/>
                  <c:y val="-1.0341626095215584E-3"/>
                </c:manualLayout>
              </c:layout>
              <c:showLegendKey val="0"/>
              <c:showVal val="1"/>
              <c:showCatName val="0"/>
              <c:showSerName val="0"/>
              <c:showPercent val="0"/>
              <c:showBubbleSize val="0"/>
            </c:dLbl>
            <c:dLbl>
              <c:idx val="5"/>
              <c:layout>
                <c:manualLayout>
                  <c:x val="-6.1739664681966837E-2"/>
                  <c:y val="2.0992966982267226E-3"/>
                </c:manualLayout>
              </c:layout>
              <c:showLegendKey val="0"/>
              <c:showVal val="1"/>
              <c:showCatName val="0"/>
              <c:showSerName val="0"/>
              <c:showPercent val="0"/>
              <c:showBubbleSize val="0"/>
            </c:dLbl>
            <c:dLbl>
              <c:idx val="6"/>
              <c:layout>
                <c:manualLayout>
                  <c:x val="-5.9293268836599161E-2"/>
                  <c:y val="0"/>
                </c:manualLayout>
              </c:layout>
              <c:showLegendKey val="0"/>
              <c:showVal val="1"/>
              <c:showCatName val="0"/>
              <c:showSerName val="0"/>
              <c:showPercent val="0"/>
              <c:showBubbleSize val="0"/>
            </c:dLbl>
            <c:dLbl>
              <c:idx val="7"/>
              <c:layout>
                <c:manualLayout>
                  <c:x val="-5.7058560732572434E-2"/>
                  <c:y val="2.0992966982267226E-3"/>
                </c:manualLayout>
              </c:layout>
              <c:showLegendKey val="0"/>
              <c:showVal val="1"/>
              <c:showCatName val="0"/>
              <c:showSerName val="0"/>
              <c:showPercent val="0"/>
              <c:showBubbleSize val="0"/>
            </c:dLbl>
            <c:dLbl>
              <c:idx val="8"/>
              <c:layout>
                <c:manualLayout>
                  <c:x val="-5.7157066339118774E-2"/>
                  <c:y val="5.1868327782200014E-4"/>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numFmt formatCode="#,##0.0" sourceLinked="0"/>
            <c:spPr>
              <a:noFill/>
            </c:spPr>
            <c:txPr>
              <a:bodyPr/>
              <a:lstStyle/>
              <a:p>
                <a:pPr>
                  <a:defRPr sz="900" b="1">
                    <a:solidFill>
                      <a:schemeClr val="bg1"/>
                    </a:solidFill>
                  </a:defRPr>
                </a:pPr>
                <a:endParaRPr lang="ru-RU"/>
              </a:p>
            </c:txPr>
            <c:showLegendKey val="0"/>
            <c:showVal val="1"/>
            <c:showCatName val="0"/>
            <c:showSerName val="0"/>
            <c:showPercent val="0"/>
            <c:showBubbleSize val="0"/>
            <c:showLeaderLines val="0"/>
          </c:dLbls>
          <c:cat>
            <c:strRef>
              <c:f>Лист1!$A$2:$A$10</c:f>
              <c:strCache>
                <c:ptCount val="9"/>
                <c:pt idx="0">
                  <c:v>2017 год</c:v>
                </c:pt>
                <c:pt idx="1">
                  <c:v>2018 год</c:v>
                </c:pt>
                <c:pt idx="2">
                  <c:v>2019 год</c:v>
                </c:pt>
                <c:pt idx="3">
                  <c:v>2020 год</c:v>
                </c:pt>
                <c:pt idx="4">
                  <c:v>2021 год</c:v>
                </c:pt>
                <c:pt idx="5">
                  <c:v>2022 год</c:v>
                </c:pt>
                <c:pt idx="6">
                  <c:v>2023 год</c:v>
                </c:pt>
                <c:pt idx="7">
                  <c:v>2024 год</c:v>
                </c:pt>
                <c:pt idx="8">
                  <c:v>2025 год</c:v>
                </c:pt>
              </c:strCache>
            </c:strRef>
          </c:cat>
          <c:val>
            <c:numRef>
              <c:f>Лист1!$C$2:$C$10</c:f>
              <c:numCache>
                <c:formatCode>0.0</c:formatCode>
                <c:ptCount val="9"/>
                <c:pt idx="0">
                  <c:v>126.5</c:v>
                </c:pt>
                <c:pt idx="1">
                  <c:v>64.924471299093653</c:v>
                </c:pt>
                <c:pt idx="2">
                  <c:v>100.04653327128896</c:v>
                </c:pt>
                <c:pt idx="3">
                  <c:v>100.93023255813954</c:v>
                </c:pt>
                <c:pt idx="4">
                  <c:v>101.38248847926268</c:v>
                </c:pt>
                <c:pt idx="5">
                  <c:v>102.27272727272727</c:v>
                </c:pt>
                <c:pt idx="6">
                  <c:v>101.77777777777777</c:v>
                </c:pt>
                <c:pt idx="7">
                  <c:v>100.87336244541484</c:v>
                </c:pt>
                <c:pt idx="8">
                  <c:v>101.73160173160173</c:v>
                </c:pt>
              </c:numCache>
            </c:numRef>
          </c:val>
          <c:smooth val="0"/>
        </c:ser>
        <c:dLbls>
          <c:showLegendKey val="0"/>
          <c:showVal val="0"/>
          <c:showCatName val="0"/>
          <c:showSerName val="0"/>
          <c:showPercent val="0"/>
          <c:showBubbleSize val="0"/>
        </c:dLbls>
        <c:marker val="1"/>
        <c:smooth val="0"/>
        <c:axId val="190258176"/>
        <c:axId val="190256640"/>
      </c:lineChart>
      <c:catAx>
        <c:axId val="179423104"/>
        <c:scaling>
          <c:orientation val="minMax"/>
        </c:scaling>
        <c:delete val="0"/>
        <c:axPos val="b"/>
        <c:majorTickMark val="out"/>
        <c:minorTickMark val="none"/>
        <c:tickLblPos val="nextTo"/>
        <c:txPr>
          <a:bodyPr/>
          <a:lstStyle/>
          <a:p>
            <a:pPr>
              <a:defRPr sz="1000"/>
            </a:pPr>
            <a:endParaRPr lang="ru-RU"/>
          </a:p>
        </c:txPr>
        <c:crossAx val="179424640"/>
        <c:crosses val="autoZero"/>
        <c:auto val="1"/>
        <c:lblAlgn val="ctr"/>
        <c:lblOffset val="100"/>
        <c:noMultiLvlLbl val="0"/>
      </c:catAx>
      <c:valAx>
        <c:axId val="179424640"/>
        <c:scaling>
          <c:orientation val="minMax"/>
        </c:scaling>
        <c:delete val="0"/>
        <c:axPos val="l"/>
        <c:majorGridlines>
          <c:spPr>
            <a:ln>
              <a:solidFill>
                <a:schemeClr val="bg1">
                  <a:lumMod val="85000"/>
                </a:schemeClr>
              </a:solidFill>
            </a:ln>
          </c:spPr>
        </c:majorGridlines>
        <c:title>
          <c:tx>
            <c:rich>
              <a:bodyPr rot="0" vert="wordArtVert"/>
              <a:lstStyle/>
              <a:p>
                <a:pPr>
                  <a:defRPr sz="1200" i="1"/>
                </a:pPr>
                <a:r>
                  <a:rPr lang="ru-RU" sz="1200" i="1"/>
                  <a:t>%</a:t>
                </a:r>
              </a:p>
            </c:rich>
          </c:tx>
          <c:layout>
            <c:manualLayout>
              <c:xMode val="edge"/>
              <c:yMode val="edge"/>
              <c:x val="0.87803957344249095"/>
              <c:y val="0"/>
            </c:manualLayout>
          </c:layout>
          <c:overlay val="0"/>
        </c:title>
        <c:numFmt formatCode="General" sourceLinked="1"/>
        <c:majorTickMark val="out"/>
        <c:minorTickMark val="none"/>
        <c:tickLblPos val="nextTo"/>
        <c:txPr>
          <a:bodyPr/>
          <a:lstStyle/>
          <a:p>
            <a:pPr>
              <a:defRPr sz="700"/>
            </a:pPr>
            <a:endParaRPr lang="ru-RU"/>
          </a:p>
        </c:txPr>
        <c:crossAx val="179423104"/>
        <c:crosses val="autoZero"/>
        <c:crossBetween val="between"/>
      </c:valAx>
      <c:valAx>
        <c:axId val="190256640"/>
        <c:scaling>
          <c:orientation val="minMax"/>
        </c:scaling>
        <c:delete val="0"/>
        <c:axPos val="r"/>
        <c:numFmt formatCode="0.0" sourceLinked="1"/>
        <c:majorTickMark val="out"/>
        <c:minorTickMark val="none"/>
        <c:tickLblPos val="nextTo"/>
        <c:txPr>
          <a:bodyPr/>
          <a:lstStyle/>
          <a:p>
            <a:pPr>
              <a:defRPr sz="700"/>
            </a:pPr>
            <a:endParaRPr lang="ru-RU"/>
          </a:p>
        </c:txPr>
        <c:crossAx val="190258176"/>
        <c:crosses val="max"/>
        <c:crossBetween val="between"/>
      </c:valAx>
      <c:catAx>
        <c:axId val="190258176"/>
        <c:scaling>
          <c:orientation val="minMax"/>
        </c:scaling>
        <c:delete val="1"/>
        <c:axPos val="b"/>
        <c:majorTickMark val="out"/>
        <c:minorTickMark val="none"/>
        <c:tickLblPos val="nextTo"/>
        <c:crossAx val="190256640"/>
        <c:crosses val="autoZero"/>
        <c:auto val="1"/>
        <c:lblAlgn val="ctr"/>
        <c:lblOffset val="100"/>
        <c:noMultiLvlLbl val="0"/>
      </c:catAx>
      <c:spPr>
        <a:noFill/>
      </c:spPr>
    </c:plotArea>
    <c:legend>
      <c:legendPos val="b"/>
      <c:layout>
        <c:manualLayout>
          <c:xMode val="edge"/>
          <c:yMode val="edge"/>
          <c:x val="1.6923954137709803E-2"/>
          <c:y val="0.93415759654281105"/>
          <c:w val="0.94209874709057595"/>
          <c:h val="6.5842362546262759E-2"/>
        </c:manualLayout>
      </c:layout>
      <c:overlay val="0"/>
      <c:txPr>
        <a:bodyPr/>
        <a:lstStyle/>
        <a:p>
          <a:pPr>
            <a:defRPr sz="1200"/>
          </a:pPr>
          <a:endParaRPr lang="ru-RU"/>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230"/>
      <c:rAngAx val="0"/>
      <c:perspective val="50"/>
    </c:view3D>
    <c:floor>
      <c:thickness val="0"/>
    </c:floor>
    <c:sideWall>
      <c:thickness val="0"/>
    </c:sideWall>
    <c:backWall>
      <c:thickness val="0"/>
    </c:backWall>
    <c:plotArea>
      <c:layout>
        <c:manualLayout>
          <c:layoutTarget val="inner"/>
          <c:xMode val="edge"/>
          <c:yMode val="edge"/>
          <c:x val="0"/>
          <c:y val="4.1872414253303044E-3"/>
          <c:w val="0.99227386423036379"/>
          <c:h val="0.95064862501553993"/>
        </c:manualLayout>
      </c:layout>
      <c:pie3DChart>
        <c:varyColors val="1"/>
        <c:ser>
          <c:idx val="0"/>
          <c:order val="0"/>
          <c:tx>
            <c:strRef>
              <c:f>Лист1!$B$1</c:f>
              <c:strCache>
                <c:ptCount val="1"/>
                <c:pt idx="0">
                  <c:v>доля</c:v>
                </c:pt>
              </c:strCache>
            </c:strRef>
          </c:tx>
          <c:explosion val="16"/>
          <c:dPt>
            <c:idx val="0"/>
            <c:bubble3D val="0"/>
            <c:explosion val="42"/>
            <c:spPr>
              <a:pattFill prst="horzBrick">
                <a:fgClr>
                  <a:sysClr val="windowText" lastClr="000000">
                    <a:lumMod val="50000"/>
                    <a:lumOff val="50000"/>
                  </a:sysClr>
                </a:fgClr>
                <a:bgClr>
                  <a:sysClr val="window" lastClr="FFFFFF"/>
                </a:bgClr>
              </a:pattFill>
              <a:ln>
                <a:solidFill>
                  <a:srgbClr val="FFFF99"/>
                </a:solidFill>
              </a:ln>
            </c:spPr>
          </c:dPt>
          <c:dPt>
            <c:idx val="1"/>
            <c:bubble3D val="0"/>
            <c:spPr>
              <a:solidFill>
                <a:srgbClr val="1F497D">
                  <a:lumMod val="60000"/>
                  <a:lumOff val="40000"/>
                </a:srgbClr>
              </a:solidFill>
            </c:spPr>
          </c:dPt>
          <c:dPt>
            <c:idx val="2"/>
            <c:bubble3D val="0"/>
            <c:explosion val="10"/>
            <c:spPr>
              <a:gradFill flip="none" rotWithShape="1">
                <a:gsLst>
                  <a:gs pos="0">
                    <a:srgbClr val="FF3399"/>
                  </a:gs>
                  <a:gs pos="25000">
                    <a:srgbClr val="FF6633"/>
                  </a:gs>
                  <a:gs pos="50000">
                    <a:srgbClr val="FFFF00"/>
                  </a:gs>
                  <a:gs pos="75000">
                    <a:srgbClr val="01A78F"/>
                  </a:gs>
                  <a:gs pos="100000">
                    <a:srgbClr val="3366FF"/>
                  </a:gs>
                </a:gsLst>
                <a:lin ang="16200000" scaled="1"/>
                <a:tileRect/>
              </a:gradFill>
            </c:spPr>
          </c:dPt>
          <c:dPt>
            <c:idx val="3"/>
            <c:bubble3D val="0"/>
            <c:explosion val="24"/>
            <c:spPr>
              <a:solidFill>
                <a:srgbClr val="A7EBF9"/>
              </a:solidFill>
            </c:spPr>
          </c:dPt>
          <c:dLbls>
            <c:dLbl>
              <c:idx val="0"/>
              <c:layout>
                <c:manualLayout>
                  <c:x val="0.17590609885580163"/>
                  <c:y val="8.6736662029624503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водоснабжение, водоотведение, сбор и утилизация отходов, ликвидация загрязнений </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1,37%</a:t>
                    </a:r>
                    <a:endParaRPr lang="ru-RU"/>
                  </a:p>
                </c:rich>
              </c:tx>
              <c:spPr/>
              <c:dLblPos val="bestFit"/>
              <c:showLegendKey val="0"/>
              <c:showVal val="0"/>
              <c:showCatName val="0"/>
              <c:showSerName val="0"/>
              <c:showPercent val="0"/>
              <c:showBubbleSize val="0"/>
            </c:dLbl>
            <c:dLbl>
              <c:idx val="1"/>
              <c:layout>
                <c:manualLayout>
                  <c:x val="0.16897638681315355"/>
                  <c:y val="5.2200761746671334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обрабатывающие производства</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84,33%</a:t>
                    </a:r>
                    <a:endParaRPr lang="ru-RU"/>
                  </a:p>
                </c:rich>
              </c:tx>
              <c:spPr/>
              <c:dLblPos val="bestFit"/>
              <c:showLegendKey val="0"/>
              <c:showVal val="0"/>
              <c:showCatName val="0"/>
              <c:showSerName val="0"/>
              <c:showPercent val="0"/>
              <c:showBubbleSize val="0"/>
            </c:dLbl>
            <c:dLbl>
              <c:idx val="2"/>
              <c:layout>
                <c:manualLayout>
                  <c:x val="0.27466970395141732"/>
                  <c:y val="-4.1821838353248771E-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обеспечение электрической энергией, газом</a:t>
                    </a:r>
                    <a:br>
                      <a:rPr lang="ru-RU" sz="950" b="0" i="0" u="none" strike="noStrike" baseline="0">
                        <a:solidFill>
                          <a:srgbClr val="000000"/>
                        </a:solidFill>
                        <a:latin typeface="Times New Roman"/>
                        <a:cs typeface="Times New Roman"/>
                      </a:rPr>
                    </a:br>
                    <a:r>
                      <a:rPr lang="ru-RU" sz="950" b="0" i="0" u="none" strike="noStrike" baseline="0">
                        <a:solidFill>
                          <a:srgbClr val="000000"/>
                        </a:solidFill>
                        <a:latin typeface="Times New Roman"/>
                        <a:cs typeface="Times New Roman"/>
                      </a:rPr>
                      <a:t>и паром </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14,29%</a:t>
                    </a:r>
                    <a:endParaRPr lang="ru-RU"/>
                  </a:p>
                </c:rich>
              </c:tx>
              <c:spPr/>
              <c:dLblPos val="bestFit"/>
              <c:showLegendKey val="0"/>
              <c:showVal val="0"/>
              <c:showCatName val="0"/>
              <c:showSerName val="0"/>
              <c:showPercent val="0"/>
              <c:showBubbleSize val="0"/>
            </c:dLbl>
            <c:dLbl>
              <c:idx val="3"/>
              <c:layout>
                <c:manualLayout>
                  <c:x val="-6.4102279208610183E-2"/>
                  <c:y val="-0.1610071547881082"/>
                </c:manualLayout>
              </c:layout>
              <c:tx>
                <c:rich>
                  <a:bodyPr/>
                  <a:lstStyle/>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добыча полезных ископаемых</a:t>
                    </a:r>
                  </a:p>
                  <a:p>
                    <a:pPr>
                      <a:defRPr sz="950" b="0" i="0" u="none" strike="noStrike" baseline="0">
                        <a:solidFill>
                          <a:srgbClr val="000000"/>
                        </a:solidFill>
                        <a:latin typeface="Calibri"/>
                        <a:ea typeface="Calibri"/>
                        <a:cs typeface="Calibri"/>
                      </a:defRPr>
                    </a:pPr>
                    <a:r>
                      <a:rPr lang="ru-RU" sz="950" b="0" i="0" u="none" strike="noStrike" baseline="0">
                        <a:solidFill>
                          <a:srgbClr val="000000"/>
                        </a:solidFill>
                        <a:latin typeface="Times New Roman"/>
                        <a:cs typeface="Times New Roman"/>
                      </a:rPr>
                      <a:t>0,01%</a:t>
                    </a:r>
                    <a:endParaRPr lang="ru-RU"/>
                  </a:p>
                </c:rich>
              </c:tx>
              <c:spPr/>
              <c:dLblPos val="bestFit"/>
              <c:showLegendKey val="0"/>
              <c:showVal val="0"/>
              <c:showCatName val="0"/>
              <c:showSerName val="0"/>
              <c:showPercent val="0"/>
              <c:showBubbleSize val="0"/>
            </c:dLbl>
            <c:dLbl>
              <c:idx val="4"/>
              <c:tx>
                <c:rich>
                  <a:bodyPr/>
                  <a:lstStyle/>
                  <a:p>
                    <a:r>
                      <a:rPr sz="950"/>
                      <a:t>производство строительных материалов 3,5%</a:t>
                    </a:r>
                    <a:endParaRPr/>
                  </a:p>
                </c:rich>
              </c:tx>
              <c:dLblPos val="bestFit"/>
              <c:showLegendKey val="0"/>
              <c:showVal val="0"/>
              <c:showCatName val="0"/>
              <c:showSerName val="0"/>
              <c:showPercent val="0"/>
              <c:showBubbleSize val="0"/>
            </c:dLbl>
            <c:dLbl>
              <c:idx val="5"/>
              <c:tx>
                <c:rich>
                  <a:bodyPr/>
                  <a:lstStyle/>
                  <a:p>
                    <a:r>
                      <a:rPr sz="950"/>
                      <a:t>издательская и полиграфическая деятельность 2,4%</a:t>
                    </a:r>
                    <a:endParaRPr/>
                  </a:p>
                </c:rich>
              </c:tx>
              <c:dLblPos val="bestFit"/>
              <c:showLegendKey val="0"/>
              <c:showVal val="0"/>
              <c:showCatName val="0"/>
              <c:showSerName val="0"/>
              <c:showPercent val="0"/>
              <c:showBubbleSize val="0"/>
            </c:dLbl>
            <c:dLbl>
              <c:idx val="6"/>
              <c:tx>
                <c:rich>
                  <a:bodyPr/>
                  <a:lstStyle/>
                  <a:p>
                    <a:r>
                      <a:rPr sz="950"/>
                      <a:t>текстильное и швейное производство 1,4%</a:t>
                    </a:r>
                    <a:endParaRPr/>
                  </a:p>
                </c:rich>
              </c:tx>
              <c:dLblPos val="bestFit"/>
              <c:showLegendKey val="0"/>
              <c:showVal val="0"/>
              <c:showCatName val="0"/>
              <c:showSerName val="0"/>
              <c:showPercent val="0"/>
              <c:showBubbleSize val="0"/>
            </c:dLbl>
            <c:dLbl>
              <c:idx val="7"/>
              <c:tx>
                <c:rich>
                  <a:bodyPr/>
                  <a:lstStyle/>
                  <a:p>
                    <a:r>
                      <a:rPr sz="950"/>
                      <a:t>производство изделий из кожи, производство обуви  1,1%</a:t>
                    </a:r>
                    <a:endParaRPr/>
                  </a:p>
                </c:rich>
              </c:tx>
              <c:dLblPos val="bestFit"/>
              <c:showLegendKey val="0"/>
              <c:showVal val="0"/>
              <c:showCatName val="0"/>
              <c:showSerName val="0"/>
              <c:showPercent val="0"/>
              <c:showBubbleSize val="0"/>
            </c:dLbl>
            <c:dLbl>
              <c:idx val="8"/>
              <c:tx>
                <c:rich>
                  <a:bodyPr/>
                  <a:lstStyle/>
                  <a:p>
                    <a:r>
                      <a:rPr sz="950"/>
                      <a:t>прочие производства  0,8%</a:t>
                    </a:r>
                    <a:endParaRPr/>
                  </a:p>
                </c:rich>
              </c:tx>
              <c:dLblPos val="bestFit"/>
              <c:showLegendKey val="0"/>
              <c:showVal val="0"/>
              <c:showCatName val="0"/>
              <c:showSerName val="0"/>
              <c:showPercent val="0"/>
              <c:showBubbleSize val="0"/>
            </c:dLbl>
            <c:txPr>
              <a:bodyPr/>
              <a:lstStyle/>
              <a:p>
                <a:pPr>
                  <a:defRPr sz="95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howLeaderLines val="1"/>
            <c:leaderLines>
              <c:spPr>
                <a:ln>
                  <a:noFill/>
                </a:ln>
              </c:spPr>
            </c:leaderLines>
          </c:dLbls>
          <c:cat>
            <c:strRef>
              <c:f>Лист1!$A$2:$A$5</c:f>
              <c:strCache>
                <c:ptCount val="4"/>
                <c:pt idx="0">
                  <c:v>добыча полезных ископаемых</c:v>
                </c:pt>
                <c:pt idx="1">
                  <c:v>обрабатывающие производства</c:v>
                </c:pt>
                <c:pt idx="2">
                  <c:v>обеспечение электрической энергией, газом и паром; кондиционирование воздуха</c:v>
                </c:pt>
                <c:pt idx="3">
                  <c:v>водоснабжение; водоотведение, организация сбора и утилизации отходов, деятельность по ликвидации загрязнений</c:v>
                </c:pt>
              </c:strCache>
            </c:strRef>
          </c:cat>
          <c:val>
            <c:numRef>
              <c:f>Лист1!$B$2:$B$5</c:f>
              <c:numCache>
                <c:formatCode>0.00</c:formatCode>
                <c:ptCount val="4"/>
                <c:pt idx="0">
                  <c:v>0.01</c:v>
                </c:pt>
                <c:pt idx="1">
                  <c:v>84.33</c:v>
                </c:pt>
                <c:pt idx="2">
                  <c:v>14.29</c:v>
                </c:pt>
                <c:pt idx="3">
                  <c:v>1.37</c:v>
                </c:pt>
              </c:numCache>
            </c:numRef>
          </c:val>
        </c:ser>
        <c:dLbls>
          <c:showLegendKey val="0"/>
          <c:showVal val="0"/>
          <c:showCatName val="0"/>
          <c:showSerName val="0"/>
          <c:showPercent val="0"/>
          <c:showBubbleSize val="0"/>
          <c:showLeaderLines val="1"/>
        </c:dLbls>
      </c:pie3DChart>
      <c:spPr>
        <a:noFill/>
        <a:ln w="25381">
          <a:noFill/>
        </a:ln>
      </c:spPr>
    </c:plotArea>
    <c:plotVisOnly val="1"/>
    <c:dispBlanksAs val="gap"/>
    <c:showDLblsOverMax val="0"/>
  </c:chart>
  <c:spPr>
    <a:noFill/>
    <a:ln>
      <a:noFill/>
    </a:ln>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101225551565252E-2"/>
          <c:y val="4.1515375094242253E-2"/>
          <c:w val="0.88981173276280379"/>
          <c:h val="0.71242573036261259"/>
        </c:manualLayout>
      </c:layout>
      <c:barChart>
        <c:barDir val="col"/>
        <c:grouping val="clustered"/>
        <c:varyColors val="0"/>
        <c:ser>
          <c:idx val="1"/>
          <c:order val="0"/>
          <c:tx>
            <c:strRef>
              <c:f>Sheet1!$A$2</c:f>
              <c:strCache>
                <c:ptCount val="1"/>
                <c:pt idx="0">
                  <c:v>объем отгруженных товаров, выполненных работ и услуг, млн. руб. </c:v>
                </c:pt>
              </c:strCache>
            </c:strRef>
          </c:tx>
          <c:spPr>
            <a:pattFill prst="smGrid">
              <a:fgClr>
                <a:srgbClr val="4F81BD">
                  <a:lumMod val="50000"/>
                </a:srgbClr>
              </a:fgClr>
              <a:bgClr>
                <a:sysClr val="window" lastClr="FFFFFF">
                  <a:lumMod val="95000"/>
                </a:sysClr>
              </a:bgClr>
            </a:pattFill>
            <a:ln w="15875">
              <a:solidFill>
                <a:schemeClr val="accent1">
                  <a:lumMod val="75000"/>
                </a:schemeClr>
              </a:solidFill>
              <a:prstDash val="solid"/>
            </a:ln>
          </c:spPr>
          <c:invertIfNegative val="0"/>
          <c:dPt>
            <c:idx val="1"/>
            <c:invertIfNegative val="0"/>
            <c:bubble3D val="0"/>
          </c:dPt>
          <c:dLbls>
            <c:dLbl>
              <c:idx val="0"/>
              <c:layout>
                <c:manualLayout>
                  <c:x val="0"/>
                  <c:y val="0.23164538946147278"/>
                </c:manualLayout>
              </c:layout>
              <c:dLblPos val="outEnd"/>
              <c:showLegendKey val="0"/>
              <c:showVal val="1"/>
              <c:showCatName val="0"/>
              <c:showSerName val="0"/>
              <c:showPercent val="0"/>
              <c:showBubbleSize val="0"/>
            </c:dLbl>
            <c:dLbl>
              <c:idx val="1"/>
              <c:layout>
                <c:manualLayout>
                  <c:x val="0"/>
                  <c:y val="0.12557892437775139"/>
                </c:manualLayout>
              </c:layout>
              <c:dLblPos val="outEnd"/>
              <c:showLegendKey val="0"/>
              <c:showVal val="1"/>
              <c:showCatName val="0"/>
              <c:showSerName val="0"/>
              <c:showPercent val="0"/>
              <c:showBubbleSize val="0"/>
            </c:dLbl>
            <c:dLbl>
              <c:idx val="2"/>
              <c:layout>
                <c:manualLayout>
                  <c:x val="-1.3075811758652552E-6"/>
                  <c:y val="0.13448775872035765"/>
                </c:manualLayout>
              </c:layout>
              <c:dLblPos val="outEnd"/>
              <c:showLegendKey val="0"/>
              <c:showVal val="1"/>
              <c:showCatName val="0"/>
              <c:showSerName val="0"/>
              <c:showPercent val="0"/>
              <c:showBubbleSize val="0"/>
            </c:dLbl>
            <c:dLbl>
              <c:idx val="3"/>
              <c:layout>
                <c:manualLayout>
                  <c:x val="-1.4117139879235652E-3"/>
                  <c:y val="0.27534976410467571"/>
                </c:manualLayout>
              </c:layout>
              <c:dLblPos val="outEnd"/>
              <c:showLegendKey val="0"/>
              <c:showVal val="1"/>
              <c:showCatName val="0"/>
              <c:showSerName val="0"/>
              <c:showPercent val="0"/>
              <c:showBubbleSize val="0"/>
            </c:dLbl>
            <c:dLbl>
              <c:idx val="4"/>
              <c:layout>
                <c:manualLayout>
                  <c:x val="-1.2493145451515425E-3"/>
                  <c:y val="0.39407048958159901"/>
                </c:manualLayout>
              </c:layout>
              <c:dLblPos val="outEnd"/>
              <c:showLegendKey val="0"/>
              <c:showVal val="1"/>
              <c:showCatName val="0"/>
              <c:showSerName val="0"/>
              <c:showPercent val="0"/>
              <c:showBubbleSize val="0"/>
            </c:dLbl>
            <c:numFmt formatCode="#,##0" sourceLinked="0"/>
            <c:spPr>
              <a:solidFill>
                <a:schemeClr val="bg1">
                  <a:lumMod val="95000"/>
                </a:schemeClr>
              </a:solidFill>
              <a:ln w="9525">
                <a:noFill/>
              </a:ln>
            </c:spPr>
            <c:txPr>
              <a:bodyPr/>
              <a:lstStyle/>
              <a:p>
                <a:pPr algn="ctr" rtl="0">
                  <a:defRPr lang="ru-RU" sz="1100" b="1" i="0" u="none" strike="noStrike" kern="1200" baseline="0">
                    <a:solidFill>
                      <a:srgbClr val="000000"/>
                    </a:solidFill>
                    <a:latin typeface="Times New Roman" pitchFamily="18" charset="0"/>
                    <a:ea typeface="Arial"/>
                    <a:cs typeface="Times New Roman" pitchFamily="18" charset="0"/>
                  </a:defRPr>
                </a:pPr>
                <a:endParaRPr lang="ru-RU"/>
              </a:p>
            </c:txPr>
            <c:dLblPos val="ctr"/>
            <c:showLegendKey val="0"/>
            <c:showVal val="1"/>
            <c:showCatName val="0"/>
            <c:showSerName val="0"/>
            <c:showPercent val="0"/>
            <c:showBubbleSize val="0"/>
            <c:showLeaderLines val="0"/>
          </c:dLbls>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76833</c:v>
                </c:pt>
                <c:pt idx="1">
                  <c:v>62825</c:v>
                </c:pt>
                <c:pt idx="2">
                  <c:v>67259.5</c:v>
                </c:pt>
                <c:pt idx="3">
                  <c:v>88944.8</c:v>
                </c:pt>
                <c:pt idx="4">
                  <c:v>120322.1</c:v>
                </c:pt>
              </c:numCache>
            </c:numRef>
          </c:val>
        </c:ser>
        <c:dLbls>
          <c:showLegendKey val="0"/>
          <c:showVal val="0"/>
          <c:showCatName val="0"/>
          <c:showSerName val="0"/>
          <c:showPercent val="0"/>
          <c:showBubbleSize val="0"/>
        </c:dLbls>
        <c:gapWidth val="20"/>
        <c:axId val="157690112"/>
        <c:axId val="157691904"/>
      </c:barChart>
      <c:lineChart>
        <c:grouping val="standard"/>
        <c:varyColors val="0"/>
        <c:ser>
          <c:idx val="0"/>
          <c:order val="1"/>
          <c:tx>
            <c:strRef>
              <c:f>Sheet1!$A$3</c:f>
              <c:strCache>
                <c:ptCount val="1"/>
                <c:pt idx="0">
                  <c:v>темп роста в действующих ценах, %</c:v>
                </c:pt>
              </c:strCache>
            </c:strRef>
          </c:tx>
          <c:spPr>
            <a:ln w="15875">
              <a:solidFill>
                <a:srgbClr val="4F81BD">
                  <a:lumMod val="50000"/>
                </a:srgbClr>
              </a:solidFill>
              <a:prstDash val="sysDash"/>
            </a:ln>
          </c:spPr>
          <c:marker>
            <c:symbol val="diamond"/>
            <c:size val="41"/>
            <c:spPr>
              <a:solidFill>
                <a:schemeClr val="accent1">
                  <a:lumMod val="75000"/>
                </a:schemeClr>
              </a:solidFill>
              <a:ln w="12700">
                <a:solidFill>
                  <a:sysClr val="window" lastClr="FFFFFF">
                    <a:lumMod val="95000"/>
                  </a:sysClr>
                </a:solidFill>
                <a:prstDash val="solid"/>
              </a:ln>
            </c:spPr>
          </c:marker>
          <c:dLbls>
            <c:dLbl>
              <c:idx val="0"/>
              <c:layout>
                <c:manualLayout>
                  <c:x val="-6.2116752693889943E-2"/>
                  <c:y val="3.5435479096246022E-4"/>
                </c:manualLayout>
              </c:layout>
              <c:dLblPos val="r"/>
              <c:showLegendKey val="0"/>
              <c:showVal val="1"/>
              <c:showCatName val="0"/>
              <c:showSerName val="0"/>
              <c:showPercent val="0"/>
              <c:showBubbleSize val="0"/>
            </c:dLbl>
            <c:dLbl>
              <c:idx val="1"/>
              <c:layout>
                <c:manualLayout>
                  <c:x val="-6.5091300373917124E-2"/>
                  <c:y val="-3.4534389690210436E-3"/>
                </c:manualLayout>
              </c:layout>
              <c:dLblPos val="r"/>
              <c:showLegendKey val="0"/>
              <c:showVal val="1"/>
              <c:showCatName val="0"/>
              <c:showSerName val="0"/>
              <c:showPercent val="0"/>
              <c:showBubbleSize val="0"/>
            </c:dLbl>
            <c:dLbl>
              <c:idx val="2"/>
              <c:layout>
                <c:manualLayout>
                  <c:x val="-7.5955973411211894E-2"/>
                  <c:y val="-4.2788095405925436E-3"/>
                </c:manualLayout>
              </c:layout>
              <c:tx>
                <c:rich>
                  <a:bodyPr/>
                  <a:lstStyle/>
                  <a:p>
                    <a:r>
                      <a:rPr lang="en-US" sz="1200" dirty="0" smtClean="0">
                        <a:latin typeface="Times New Roman" pitchFamily="18" charset="0"/>
                        <a:cs typeface="Times New Roman" pitchFamily="18" charset="0"/>
                      </a:rPr>
                      <a:t>112</a:t>
                    </a:r>
                    <a:endParaRPr lang="en-US" dirty="0"/>
                  </a:p>
                </c:rich>
              </c:tx>
              <c:dLblPos val="r"/>
              <c:showLegendKey val="0"/>
              <c:showVal val="1"/>
              <c:showCatName val="0"/>
              <c:showSerName val="0"/>
              <c:showPercent val="0"/>
              <c:showBubbleSize val="0"/>
            </c:dLbl>
            <c:dLbl>
              <c:idx val="3"/>
              <c:layout>
                <c:manualLayout>
                  <c:x val="-8.2142118256611635E-2"/>
                  <c:y val="-5.3761756187524717E-4"/>
                </c:manualLayout>
              </c:layout>
              <c:dLblPos val="r"/>
              <c:showLegendKey val="0"/>
              <c:showVal val="1"/>
              <c:showCatName val="0"/>
              <c:showSerName val="0"/>
              <c:showPercent val="0"/>
              <c:showBubbleSize val="0"/>
            </c:dLbl>
            <c:dLbl>
              <c:idx val="4"/>
              <c:layout>
                <c:manualLayout>
                  <c:x val="-8.3302082752410522E-2"/>
                  <c:y val="1.8195757576367347E-3"/>
                </c:manualLayout>
              </c:layout>
              <c:dLblPos val="r"/>
              <c:showLegendKey val="0"/>
              <c:showVal val="1"/>
              <c:showCatName val="0"/>
              <c:showSerName val="0"/>
              <c:showPercent val="0"/>
              <c:showBubbleSize val="0"/>
            </c:dLbl>
            <c:dLbl>
              <c:idx val="5"/>
              <c:layout>
                <c:manualLayout>
                  <c:x val="-6.3365819113029812E-2"/>
                  <c:y val="-1.4838172186567661E-4"/>
                </c:manualLayout>
              </c:layout>
              <c:dLblPos val="r"/>
              <c:showLegendKey val="0"/>
              <c:showVal val="1"/>
              <c:showCatName val="0"/>
              <c:showSerName val="0"/>
              <c:showPercent val="0"/>
              <c:showBubbleSize val="0"/>
            </c:dLbl>
            <c:dLbl>
              <c:idx val="6"/>
              <c:layout>
                <c:manualLayout>
                  <c:x val="-6.6743460526356713E-2"/>
                  <c:y val="1.2403144409972463E-3"/>
                </c:manualLayout>
              </c:layout>
              <c:dLblPos val="r"/>
              <c:showLegendKey val="0"/>
              <c:showVal val="1"/>
              <c:showCatName val="0"/>
              <c:showSerName val="0"/>
              <c:showPercent val="0"/>
              <c:showBubbleSize val="0"/>
            </c:dLbl>
            <c:spPr>
              <a:noFill/>
              <a:ln w="25406">
                <a:noFill/>
              </a:ln>
            </c:spPr>
            <c:txPr>
              <a:bodyPr/>
              <a:lstStyle/>
              <a:p>
                <a:pPr algn="ctr" rtl="0">
                  <a:defRPr lang="ru-RU" sz="1200" b="1" i="1" u="none" strike="noStrike" kern="1200" baseline="0">
                    <a:solidFill>
                      <a:schemeClr val="bg1"/>
                    </a:solidFill>
                    <a:latin typeface="Times New Roman" pitchFamily="18" charset="0"/>
                    <a:ea typeface="Arial"/>
                    <a:cs typeface="Times New Roman" pitchFamily="18" charset="0"/>
                  </a:defRPr>
                </a:pPr>
                <a:endParaRPr lang="ru-RU"/>
              </a:p>
            </c:txPr>
            <c:showLegendKey val="0"/>
            <c:showVal val="1"/>
            <c:showCatName val="0"/>
            <c:showSerName val="0"/>
            <c:showPercent val="0"/>
            <c:showBubbleSize val="0"/>
            <c:showLeaderLines val="0"/>
          </c:dLbls>
          <c:cat>
            <c:numRef>
              <c:f>Sheet1!$B$1:$F$1</c:f>
              <c:numCache>
                <c:formatCode>General</c:formatCode>
                <c:ptCount val="5"/>
                <c:pt idx="0">
                  <c:v>2014</c:v>
                </c:pt>
                <c:pt idx="1">
                  <c:v>2015</c:v>
                </c:pt>
                <c:pt idx="2">
                  <c:v>2016</c:v>
                </c:pt>
                <c:pt idx="3">
                  <c:v>2017</c:v>
                </c:pt>
                <c:pt idx="4">
                  <c:v>2018</c:v>
                </c:pt>
              </c:numCache>
            </c:numRef>
          </c:cat>
          <c:val>
            <c:numRef>
              <c:f>Sheet1!$B$3:$F$3</c:f>
              <c:numCache>
                <c:formatCode>General</c:formatCode>
                <c:ptCount val="5"/>
                <c:pt idx="0">
                  <c:v>86</c:v>
                </c:pt>
                <c:pt idx="1">
                  <c:v>82</c:v>
                </c:pt>
                <c:pt idx="2" formatCode="0.0">
                  <c:v>111.5</c:v>
                </c:pt>
                <c:pt idx="3">
                  <c:v>132.19999999999999</c:v>
                </c:pt>
                <c:pt idx="4">
                  <c:v>135.30000000000001</c:v>
                </c:pt>
              </c:numCache>
            </c:numRef>
          </c:val>
          <c:smooth val="0"/>
        </c:ser>
        <c:dLbls>
          <c:showLegendKey val="0"/>
          <c:showVal val="0"/>
          <c:showCatName val="0"/>
          <c:showSerName val="0"/>
          <c:showPercent val="0"/>
          <c:showBubbleSize val="0"/>
        </c:dLbls>
        <c:marker val="1"/>
        <c:smooth val="0"/>
        <c:axId val="157693440"/>
        <c:axId val="157694976"/>
      </c:lineChart>
      <c:catAx>
        <c:axId val="157690112"/>
        <c:scaling>
          <c:orientation val="minMax"/>
        </c:scaling>
        <c:delete val="0"/>
        <c:axPos val="b"/>
        <c:numFmt formatCode="General" sourceLinked="1"/>
        <c:majorTickMark val="cross"/>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crossAx val="157691904"/>
        <c:crosses val="autoZero"/>
        <c:auto val="0"/>
        <c:lblAlgn val="ctr"/>
        <c:lblOffset val="100"/>
        <c:tickLblSkip val="1"/>
        <c:tickMarkSkip val="1"/>
        <c:noMultiLvlLbl val="0"/>
      </c:catAx>
      <c:valAx>
        <c:axId val="157691904"/>
        <c:scaling>
          <c:orientation val="minMax"/>
          <c:max val="130000"/>
          <c:min val="50000"/>
        </c:scaling>
        <c:delete val="0"/>
        <c:axPos val="l"/>
        <c:numFmt formatCode="General" sourceLinked="1"/>
        <c:majorTickMark val="cross"/>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Times New Roman" pitchFamily="18" charset="0"/>
                <a:ea typeface="Calibri"/>
                <a:cs typeface="Times New Roman" pitchFamily="18" charset="0"/>
              </a:defRPr>
            </a:pPr>
            <a:endParaRPr lang="ru-RU"/>
          </a:p>
        </c:txPr>
        <c:crossAx val="157690112"/>
        <c:crosses val="autoZero"/>
        <c:crossBetween val="between"/>
        <c:majorUnit val="20000"/>
      </c:valAx>
      <c:catAx>
        <c:axId val="157693440"/>
        <c:scaling>
          <c:orientation val="minMax"/>
        </c:scaling>
        <c:delete val="1"/>
        <c:axPos val="b"/>
        <c:numFmt formatCode="General" sourceLinked="1"/>
        <c:majorTickMark val="out"/>
        <c:minorTickMark val="none"/>
        <c:tickLblPos val="nextTo"/>
        <c:crossAx val="157694976"/>
        <c:crosses val="autoZero"/>
        <c:auto val="0"/>
        <c:lblAlgn val="ctr"/>
        <c:lblOffset val="100"/>
        <c:noMultiLvlLbl val="0"/>
      </c:catAx>
      <c:valAx>
        <c:axId val="157694976"/>
        <c:scaling>
          <c:orientation val="minMax"/>
          <c:max val="155"/>
          <c:min val="35"/>
        </c:scaling>
        <c:delete val="0"/>
        <c:axPos val="r"/>
        <c:numFmt formatCode="General" sourceLinked="1"/>
        <c:majorTickMark val="cross"/>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Times New Roman" pitchFamily="18" charset="0"/>
                <a:ea typeface="Calibri"/>
                <a:cs typeface="Times New Roman" pitchFamily="18" charset="0"/>
              </a:defRPr>
            </a:pPr>
            <a:endParaRPr lang="ru-RU"/>
          </a:p>
        </c:txPr>
        <c:crossAx val="157693440"/>
        <c:crosses val="max"/>
        <c:crossBetween val="between"/>
      </c:valAx>
      <c:spPr>
        <a:noFill/>
        <a:ln w="12703">
          <a:noFill/>
          <a:prstDash val="solid"/>
        </a:ln>
      </c:spPr>
    </c:plotArea>
    <c:legend>
      <c:legendPos val="b"/>
      <c:legendEntry>
        <c:idx val="0"/>
        <c:txPr>
          <a:bodyPr/>
          <a:lstStyle/>
          <a:p>
            <a:pPr>
              <a:defRPr sz="900" b="0" i="0" u="none" strike="noStrike" spc="0" baseline="0">
                <a:solidFill>
                  <a:sysClr val="windowText" lastClr="000000"/>
                </a:solidFill>
                <a:latin typeface="Times New Roman" pitchFamily="18" charset="0"/>
                <a:ea typeface="Calibri"/>
                <a:cs typeface="Times New Roman" pitchFamily="18" charset="0"/>
              </a:defRPr>
            </a:pPr>
            <a:endParaRPr lang="ru-RU"/>
          </a:p>
        </c:txPr>
      </c:legendEntry>
      <c:legendEntry>
        <c:idx val="1"/>
        <c:txPr>
          <a:bodyPr/>
          <a:lstStyle/>
          <a:p>
            <a:pPr>
              <a:defRPr sz="900" b="0" i="0" u="none" strike="noStrike" spc="0" baseline="0">
                <a:solidFill>
                  <a:sysClr val="windowText" lastClr="000000"/>
                </a:solidFill>
                <a:latin typeface="Times New Roman" pitchFamily="18" charset="0"/>
                <a:ea typeface="Calibri"/>
                <a:cs typeface="Times New Roman" pitchFamily="18" charset="0"/>
              </a:defRPr>
            </a:pPr>
            <a:endParaRPr lang="ru-RU"/>
          </a:p>
        </c:txPr>
      </c:legendEntry>
      <c:layout>
        <c:manualLayout>
          <c:xMode val="edge"/>
          <c:yMode val="edge"/>
          <c:x val="6.6779718034480726E-2"/>
          <c:y val="0.8409386672156971"/>
          <c:w val="0.79828788356394143"/>
          <c:h val="0.15906143091965494"/>
        </c:manualLayout>
      </c:layout>
      <c:overlay val="0"/>
      <c:spPr>
        <a:noFill/>
        <a:ln w="3176">
          <a:noFill/>
          <a:prstDash val="solid"/>
        </a:ln>
      </c:spPr>
      <c:txPr>
        <a:bodyPr/>
        <a:lstStyle/>
        <a:p>
          <a:pPr>
            <a:defRPr sz="900" b="0" i="0" u="none" strike="noStrike" spc="0" baseline="0">
              <a:solidFill>
                <a:sysClr val="windowText" lastClr="000000"/>
              </a:solidFill>
              <a:latin typeface="Times New Roman" pitchFamily="18" charset="0"/>
              <a:ea typeface="Calibri"/>
              <a:cs typeface="Times New Roman" pitchFamily="18" charset="0"/>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0"/>
      <c:rAngAx val="1"/>
    </c:view3D>
    <c:floor>
      <c:thickness val="0"/>
      <c:spPr>
        <a:solidFill>
          <a:sysClr val="window" lastClr="FFFFFF">
            <a:lumMod val="95000"/>
            <a:alpha val="57000"/>
          </a:sysClr>
        </a:solidFill>
        <a:ln w="6350">
          <a:solidFill>
            <a:srgbClr val="4F81BD">
              <a:lumMod val="40000"/>
              <a:lumOff val="60000"/>
            </a:srgbClr>
          </a:solidFill>
        </a:ln>
      </c:spPr>
    </c:floor>
    <c:sideWall>
      <c:thickness val="0"/>
      <c:spPr>
        <a:noFill/>
        <a:ln w="25432">
          <a:noFill/>
        </a:ln>
      </c:spPr>
    </c:sideWall>
    <c:backWall>
      <c:thickness val="0"/>
      <c:spPr>
        <a:noFill/>
        <a:ln w="25432">
          <a:noFill/>
        </a:ln>
      </c:spPr>
    </c:backWall>
    <c:plotArea>
      <c:layout>
        <c:manualLayout>
          <c:layoutTarget val="inner"/>
          <c:xMode val="edge"/>
          <c:yMode val="edge"/>
          <c:x val="4.250230556706483E-2"/>
          <c:y val="2.1838797140744392E-2"/>
          <c:w val="0.95606211577461342"/>
          <c:h val="0.85880030176682798"/>
        </c:manualLayout>
      </c:layout>
      <c:bar3DChart>
        <c:barDir val="col"/>
        <c:grouping val="stacked"/>
        <c:varyColors val="0"/>
        <c:ser>
          <c:idx val="1"/>
          <c:order val="0"/>
          <c:spPr>
            <a:pattFill prst="narVert">
              <a:fgClr>
                <a:srgbClr val="4F81BD">
                  <a:lumMod val="75000"/>
                </a:srgbClr>
              </a:fgClr>
              <a:bgClr>
                <a:sysClr val="window" lastClr="FFFFFF"/>
              </a:bgClr>
            </a:pattFill>
            <a:ln w="9525">
              <a:solidFill>
                <a:srgbClr val="1F497D"/>
              </a:solidFill>
              <a:prstDash val="sysDash"/>
            </a:ln>
          </c:spPr>
          <c:invertIfNegative val="0"/>
          <c:dLbls>
            <c:dLbl>
              <c:idx val="0"/>
              <c:layout>
                <c:manualLayout>
                  <c:x val="8.1804692624588768E-3"/>
                  <c:y val="-0.15814324132913718"/>
                </c:manualLayout>
              </c:layout>
              <c:showLegendKey val="0"/>
              <c:showVal val="1"/>
              <c:showCatName val="0"/>
              <c:showSerName val="0"/>
              <c:showPercent val="0"/>
              <c:showBubbleSize val="0"/>
            </c:dLbl>
            <c:dLbl>
              <c:idx val="1"/>
              <c:layout>
                <c:manualLayout>
                  <c:x val="1.0287240237866559E-2"/>
                  <c:y val="-0.29107068725461349"/>
                </c:manualLayout>
              </c:layout>
              <c:showLegendKey val="0"/>
              <c:showVal val="1"/>
              <c:showCatName val="0"/>
              <c:showSerName val="0"/>
              <c:showPercent val="0"/>
              <c:showBubbleSize val="0"/>
            </c:dLbl>
            <c:dLbl>
              <c:idx val="2"/>
              <c:layout>
                <c:manualLayout>
                  <c:x val="1.431569143098782E-2"/>
                  <c:y val="-0.26620366326983341"/>
                </c:manualLayout>
              </c:layout>
              <c:tx>
                <c:rich>
                  <a:bodyPr/>
                  <a:lstStyle/>
                  <a:p>
                    <a:r>
                      <a:rPr lang="ru-RU"/>
                      <a:t>106</a:t>
                    </a:r>
                    <a:endParaRPr lang="en-US"/>
                  </a:p>
                </c:rich>
              </c:tx>
              <c:showLegendKey val="0"/>
              <c:showVal val="1"/>
              <c:showCatName val="0"/>
              <c:showSerName val="0"/>
              <c:showPercent val="0"/>
              <c:showBubbleSize val="0"/>
            </c:dLbl>
            <c:dLbl>
              <c:idx val="3"/>
              <c:layout>
                <c:manualLayout>
                  <c:x val="1.5439820953014122E-2"/>
                  <c:y val="-0.34597826816838329"/>
                </c:manualLayout>
              </c:layout>
              <c:showLegendKey val="0"/>
              <c:showVal val="1"/>
              <c:showCatName val="0"/>
              <c:showSerName val="0"/>
              <c:showPercent val="0"/>
              <c:showBubbleSize val="0"/>
            </c:dLbl>
            <c:dLbl>
              <c:idx val="4"/>
              <c:layout>
                <c:manualLayout>
                  <c:x val="9.5805425966126734E-3"/>
                  <c:y val="-0.37361774765289657"/>
                </c:manualLayout>
              </c:layout>
              <c:tx>
                <c:rich>
                  <a:bodyPr/>
                  <a:lstStyle/>
                  <a:p>
                    <a:r>
                      <a:rPr lang="ru-RU" sz="1100"/>
                      <a:t>115,5</a:t>
                    </a:r>
                    <a:endParaRPr lang="en-US"/>
                  </a:p>
                </c:rich>
              </c:tx>
              <c:showLegendKey val="0"/>
              <c:showVal val="1"/>
              <c:showCatName val="0"/>
              <c:showSerName val="0"/>
              <c:showPercent val="0"/>
              <c:showBubbleSize val="0"/>
            </c:dLbl>
            <c:dLbl>
              <c:idx val="5"/>
              <c:layout>
                <c:manualLayout>
                  <c:x val="5.6960844890652177E-3"/>
                  <c:y val="-0.41047220351928737"/>
                </c:manualLayout>
              </c:layout>
              <c:showLegendKey val="0"/>
              <c:showVal val="1"/>
              <c:showCatName val="0"/>
              <c:showSerName val="0"/>
              <c:showPercent val="0"/>
              <c:showBubbleSize val="0"/>
            </c:dLbl>
            <c:dLbl>
              <c:idx val="6"/>
              <c:layout>
                <c:manualLayout>
                  <c:x val="1.0633928084316515E-2"/>
                  <c:y val="-0.40629778514647846"/>
                </c:manualLayout>
              </c:layout>
              <c:tx>
                <c:rich>
                  <a:bodyPr/>
                  <a:lstStyle/>
                  <a:p>
                    <a:r>
                      <a:rPr lang="ru-RU">
                        <a:solidFill>
                          <a:sysClr val="windowText" lastClr="000000"/>
                        </a:solidFill>
                      </a:rPr>
                      <a:t>120,5</a:t>
                    </a:r>
                    <a:endParaRPr lang="en-US">
                      <a:solidFill>
                        <a:sysClr val="windowText" lastClr="000000"/>
                      </a:solidFill>
                    </a:endParaRPr>
                  </a:p>
                </c:rich>
              </c:tx>
              <c:showLegendKey val="0"/>
              <c:showVal val="1"/>
              <c:showCatName val="0"/>
              <c:showSerName val="0"/>
              <c:showPercent val="0"/>
              <c:showBubbleSize val="0"/>
            </c:dLbl>
            <c:dLbl>
              <c:idx val="7"/>
              <c:layout>
                <c:manualLayout>
                  <c:x val="8.243748517140272E-3"/>
                  <c:y val="-0.37972483424257714"/>
                </c:manualLayout>
              </c:layout>
              <c:showLegendKey val="0"/>
              <c:showVal val="1"/>
              <c:showCatName val="0"/>
              <c:showSerName val="0"/>
              <c:showPercent val="0"/>
              <c:showBubbleSize val="0"/>
            </c:dLbl>
            <c:dLbl>
              <c:idx val="8"/>
              <c:layout>
                <c:manualLayout>
                  <c:x val="1.0445041888011895E-2"/>
                  <c:y val="-0.38895211247732003"/>
                </c:manualLayout>
              </c:layout>
              <c:showLegendKey val="0"/>
              <c:showVal val="1"/>
              <c:showCatName val="0"/>
              <c:showSerName val="0"/>
              <c:showPercent val="0"/>
              <c:showBubbleSize val="0"/>
            </c:dLbl>
            <c:dLbl>
              <c:idx val="9"/>
              <c:layout>
                <c:manualLayout>
                  <c:x val="1.0304685646425341E-2"/>
                  <c:y val="-0.38931790609610017"/>
                </c:manualLayout>
              </c:layout>
              <c:showLegendKey val="0"/>
              <c:showVal val="1"/>
              <c:showCatName val="0"/>
              <c:showSerName val="0"/>
              <c:showPercent val="0"/>
              <c:showBubbleSize val="0"/>
            </c:dLbl>
            <c:dLbl>
              <c:idx val="10"/>
              <c:layout>
                <c:manualLayout>
                  <c:x val="1.0257900232563155E-2"/>
                  <c:y val="-0.39847194892079379"/>
                </c:manualLayout>
              </c:layout>
              <c:showLegendKey val="0"/>
              <c:showVal val="1"/>
              <c:showCatName val="0"/>
              <c:showSerName val="0"/>
              <c:showPercent val="0"/>
              <c:showBubbleSize val="0"/>
            </c:dLbl>
            <c:dLbl>
              <c:idx val="11"/>
              <c:layout>
                <c:manualLayout>
                  <c:x val="1.2448884952922772E-2"/>
                  <c:y val="-0.40143970846938759"/>
                </c:manualLayout>
              </c:layout>
              <c:showLegendKey val="0"/>
              <c:showVal val="1"/>
              <c:showCatName val="0"/>
              <c:showSerName val="0"/>
              <c:showPercent val="0"/>
              <c:showBubbleSize val="0"/>
            </c:dLbl>
            <c:spPr>
              <a:noFill/>
              <a:ln w="25432">
                <a:noFill/>
              </a:ln>
            </c:spPr>
            <c:txPr>
              <a:bodyPr/>
              <a:lstStyle/>
              <a:p>
                <a:pPr>
                  <a:defRPr sz="1100" b="1"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Sheet1!$A$1:$A$7</c:f>
              <c:strCache>
                <c:ptCount val="7"/>
                <c:pt idx="0">
                  <c:v>январь </c:v>
                </c:pt>
                <c:pt idx="1">
                  <c:v>январь-февраль </c:v>
                </c:pt>
                <c:pt idx="2">
                  <c:v>январь-март</c:v>
                </c:pt>
                <c:pt idx="3">
                  <c:v>январь-апрель</c:v>
                </c:pt>
                <c:pt idx="4">
                  <c:v>январь-май</c:v>
                </c:pt>
                <c:pt idx="5">
                  <c:v>январь-июнь</c:v>
                </c:pt>
                <c:pt idx="6">
                  <c:v>январь-июль</c:v>
                </c:pt>
              </c:strCache>
            </c:strRef>
          </c:cat>
          <c:val>
            <c:numRef>
              <c:f>Sheet1!$B$1:$B$7</c:f>
              <c:numCache>
                <c:formatCode>0.0</c:formatCode>
                <c:ptCount val="7"/>
                <c:pt idx="0" formatCode="General">
                  <c:v>92.8</c:v>
                </c:pt>
                <c:pt idx="1">
                  <c:v>106.3</c:v>
                </c:pt>
                <c:pt idx="2" formatCode="General">
                  <c:v>106</c:v>
                </c:pt>
                <c:pt idx="3" formatCode="General">
                  <c:v>114.6</c:v>
                </c:pt>
                <c:pt idx="4" formatCode="General">
                  <c:v>115.5</c:v>
                </c:pt>
                <c:pt idx="5">
                  <c:v>121.95</c:v>
                </c:pt>
                <c:pt idx="6" formatCode="General">
                  <c:v>120.5</c:v>
                </c:pt>
              </c:numCache>
            </c:numRef>
          </c:val>
        </c:ser>
        <c:dLbls>
          <c:showLegendKey val="0"/>
          <c:showVal val="1"/>
          <c:showCatName val="0"/>
          <c:showSerName val="0"/>
          <c:showPercent val="0"/>
          <c:showBubbleSize val="0"/>
        </c:dLbls>
        <c:gapWidth val="54"/>
        <c:gapDepth val="8"/>
        <c:shape val="box"/>
        <c:axId val="157711360"/>
        <c:axId val="184891264"/>
        <c:axId val="0"/>
      </c:bar3DChart>
      <c:catAx>
        <c:axId val="157711360"/>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84891264"/>
        <c:crossesAt val="90"/>
        <c:auto val="1"/>
        <c:lblAlgn val="ctr"/>
        <c:lblOffset val="350"/>
        <c:tickLblSkip val="1"/>
        <c:tickMarkSkip val="1"/>
        <c:noMultiLvlLbl val="0"/>
      </c:catAx>
      <c:valAx>
        <c:axId val="184891264"/>
        <c:scaling>
          <c:orientation val="minMax"/>
          <c:max val="130"/>
          <c:min val="90"/>
        </c:scaling>
        <c:delete val="0"/>
        <c:axPos val="l"/>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57711360"/>
        <c:crosses val="autoZero"/>
        <c:crossBetween val="between"/>
        <c:majorUnit val="10"/>
      </c:valAx>
    </c:plotArea>
    <c:plotVisOnly val="1"/>
    <c:dispBlanksAs val="gap"/>
    <c:showDLblsOverMax val="0"/>
  </c:chart>
  <c:spPr>
    <a:noFill/>
    <a:ln>
      <a:noFill/>
    </a:ln>
  </c:spPr>
  <c:txPr>
    <a:bodyPr/>
    <a:lstStyle/>
    <a:p>
      <a:pPr>
        <a:defRPr sz="901"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nSpc>
                <a:spcPct val="90000"/>
              </a:lnSpc>
              <a:defRPr sz="1200" b="1" i="0" u="none" strike="noStrike" baseline="0">
                <a:solidFill>
                  <a:srgbClr val="000000"/>
                </a:solidFill>
                <a:latin typeface="Times New Roman"/>
                <a:ea typeface="Times New Roman"/>
                <a:cs typeface="Times New Roman"/>
              </a:defRPr>
            </a:pPr>
            <a:r>
              <a:rPr lang="ru-RU" sz="1200" b="1" i="1"/>
              <a:t>Масштабы неполной занятости работников организаций </a:t>
            </a:r>
            <a:br>
              <a:rPr lang="ru-RU" sz="1200" b="1" i="1"/>
            </a:br>
            <a:r>
              <a:rPr lang="ru-RU" sz="1200" b="1" i="1"/>
              <a:t>города Твери на 1 января 2010-2019 годов</a:t>
            </a:r>
          </a:p>
        </c:rich>
      </c:tx>
      <c:layout>
        <c:manualLayout>
          <c:xMode val="edge"/>
          <c:yMode val="edge"/>
          <c:x val="0.21290057721066441"/>
          <c:y val="2.6358535742790092E-2"/>
        </c:manualLayout>
      </c:layout>
      <c:overlay val="0"/>
      <c:spPr>
        <a:noFill/>
        <a:ln w="28336">
          <a:noFill/>
        </a:ln>
      </c:spPr>
    </c:title>
    <c:autoTitleDeleted val="0"/>
    <c:plotArea>
      <c:layout>
        <c:manualLayout>
          <c:layoutTarget val="inner"/>
          <c:xMode val="edge"/>
          <c:yMode val="edge"/>
          <c:x val="5.4832993199454935E-2"/>
          <c:y val="0.12865336180832318"/>
          <c:w val="0.92128387340405282"/>
          <c:h val="0.63898698916910501"/>
        </c:manualLayout>
      </c:layout>
      <c:barChart>
        <c:barDir val="col"/>
        <c:grouping val="clustered"/>
        <c:varyColors val="0"/>
        <c:ser>
          <c:idx val="1"/>
          <c:order val="0"/>
          <c:tx>
            <c:strRef>
              <c:f>Sheet1!$B$1</c:f>
              <c:strCache>
                <c:ptCount val="1"/>
                <c:pt idx="0">
                  <c:v>численность работников, человек</c:v>
                </c:pt>
              </c:strCache>
            </c:strRef>
          </c:tx>
          <c:spPr>
            <a:solidFill>
              <a:srgbClr val="4F81BD">
                <a:lumMod val="75000"/>
                <a:alpha val="48000"/>
              </a:srgbClr>
            </a:solidFill>
            <a:ln w="9525">
              <a:solidFill>
                <a:srgbClr val="4F81BD">
                  <a:lumMod val="75000"/>
                  <a:alpha val="47000"/>
                </a:srgbClr>
              </a:solidFill>
              <a:prstDash val="sysDot"/>
            </a:ln>
            <a:scene3d>
              <a:camera prst="orthographicFront"/>
              <a:lightRig rig="threePt" dir="t"/>
            </a:scene3d>
            <a:sp3d>
              <a:bevelT/>
            </a:sp3d>
          </c:spPr>
          <c:invertIfNegative val="0"/>
          <c:dLbls>
            <c:dLbl>
              <c:idx val="0"/>
              <c:layout>
                <c:manualLayout>
                  <c:x val="-3.5654367652235568E-4"/>
                  <c:y val="-6.1722796631156575E-2"/>
                </c:manualLayout>
              </c:layout>
              <c:dLblPos val="outEnd"/>
              <c:showLegendKey val="0"/>
              <c:showVal val="1"/>
              <c:showCatName val="0"/>
              <c:showSerName val="0"/>
              <c:showPercent val="0"/>
              <c:showBubbleSize val="0"/>
            </c:dLbl>
            <c:dLbl>
              <c:idx val="1"/>
              <c:layout>
                <c:manualLayout>
                  <c:x val="2.8172411726963375E-3"/>
                  <c:y val="-3.1510091563880975E-3"/>
                </c:manualLayout>
              </c:layout>
              <c:dLblPos val="outEnd"/>
              <c:showLegendKey val="0"/>
              <c:showVal val="1"/>
              <c:showCatName val="0"/>
              <c:showSerName val="0"/>
              <c:showPercent val="0"/>
              <c:showBubbleSize val="0"/>
            </c:dLbl>
            <c:dLbl>
              <c:idx val="2"/>
              <c:layout>
                <c:manualLayout>
                  <c:x val="6.8453275841111631E-4"/>
                  <c:y val="-0.12596456036586001"/>
                </c:manualLayout>
              </c:layout>
              <c:dLblPos val="outEnd"/>
              <c:showLegendKey val="0"/>
              <c:showVal val="1"/>
              <c:showCatName val="0"/>
              <c:showSerName val="0"/>
              <c:showPercent val="0"/>
              <c:showBubbleSize val="0"/>
            </c:dLbl>
            <c:dLbl>
              <c:idx val="3"/>
              <c:layout>
                <c:manualLayout>
                  <c:x val="1.249853520600192E-4"/>
                  <c:y val="-8.3377930461576058E-2"/>
                </c:manualLayout>
              </c:layout>
              <c:dLblPos val="outEnd"/>
              <c:showLegendKey val="0"/>
              <c:showVal val="1"/>
              <c:showCatName val="0"/>
              <c:showSerName val="0"/>
              <c:showPercent val="0"/>
              <c:showBubbleSize val="0"/>
            </c:dLbl>
            <c:dLbl>
              <c:idx val="4"/>
              <c:layout>
                <c:manualLayout>
                  <c:x val="-2.1860733862183132E-4"/>
                  <c:y val="-0.13732903744669445"/>
                </c:manualLayout>
              </c:layout>
              <c:dLblPos val="outEnd"/>
              <c:showLegendKey val="0"/>
              <c:showVal val="1"/>
              <c:showCatName val="0"/>
              <c:showSerName val="0"/>
              <c:showPercent val="0"/>
              <c:showBubbleSize val="0"/>
            </c:dLbl>
            <c:dLbl>
              <c:idx val="5"/>
              <c:layout>
                <c:manualLayout>
                  <c:x val="-3.4281250746050207E-3"/>
                  <c:y val="-2.5759102695850897E-2"/>
                </c:manualLayout>
              </c:layout>
              <c:dLblPos val="outEnd"/>
              <c:showLegendKey val="0"/>
              <c:showVal val="1"/>
              <c:showCatName val="0"/>
              <c:showSerName val="0"/>
              <c:showPercent val="0"/>
              <c:showBubbleSize val="0"/>
            </c:dLbl>
            <c:dLbl>
              <c:idx val="6"/>
              <c:layout>
                <c:manualLayout>
                  <c:x val="-6.6159537170347232E-4"/>
                  <c:y val="-1.7518480090154047E-2"/>
                </c:manualLayout>
              </c:layout>
              <c:dLblPos val="outEnd"/>
              <c:showLegendKey val="0"/>
              <c:showVal val="1"/>
              <c:showCatName val="0"/>
              <c:showSerName val="0"/>
              <c:showPercent val="0"/>
              <c:showBubbleSize val="0"/>
            </c:dLbl>
            <c:dLbl>
              <c:idx val="7"/>
              <c:layout>
                <c:manualLayout>
                  <c:x val="-2.393446086452727E-3"/>
                  <c:y val="-0.21326934673866968"/>
                </c:manualLayout>
              </c:layout>
              <c:dLblPos val="outEnd"/>
              <c:showLegendKey val="0"/>
              <c:showVal val="1"/>
              <c:showCatName val="0"/>
              <c:showSerName val="0"/>
              <c:showPercent val="0"/>
              <c:showBubbleSize val="0"/>
            </c:dLbl>
            <c:dLbl>
              <c:idx val="8"/>
              <c:layout>
                <c:manualLayout>
                  <c:x val="1.6274621997328341E-3"/>
                  <c:y val="-0.16326815930340829"/>
                </c:manualLayout>
              </c:layout>
              <c:dLblPos val="outEnd"/>
              <c:showLegendKey val="0"/>
              <c:showVal val="1"/>
              <c:showCatName val="0"/>
              <c:showSerName val="0"/>
              <c:showPercent val="0"/>
              <c:showBubbleSize val="0"/>
            </c:dLbl>
            <c:dLbl>
              <c:idx val="9"/>
              <c:layout>
                <c:manualLayout>
                  <c:x val="-2.206982296550451E-3"/>
                  <c:y val="-0.15377002353100039"/>
                </c:manualLayout>
              </c:layout>
              <c:dLblPos val="outEnd"/>
              <c:showLegendKey val="0"/>
              <c:showVal val="1"/>
              <c:showCatName val="0"/>
              <c:showSerName val="0"/>
              <c:showPercent val="0"/>
              <c:showBubbleSize val="0"/>
            </c:dLbl>
            <c:dLbl>
              <c:idx val="10"/>
              <c:layout>
                <c:manualLayout>
                  <c:x val="-2.2054318838026095E-3"/>
                  <c:y val="0.12004194884590046"/>
                </c:manualLayout>
              </c:layout>
              <c:dLblPos val="outEnd"/>
              <c:showLegendKey val="0"/>
              <c:showVal val="1"/>
              <c:showCatName val="0"/>
              <c:showSerName val="0"/>
              <c:showPercent val="0"/>
              <c:showBubbleSize val="0"/>
            </c:dLbl>
            <c:spPr>
              <a:noFill/>
              <a:ln w="28336">
                <a:noFill/>
              </a:ln>
            </c:spPr>
            <c:txPr>
              <a:bodyPr/>
              <a:lstStyle/>
              <a:p>
                <a:pPr>
                  <a:defRPr sz="900" b="0"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13965</c:v>
                </c:pt>
                <c:pt idx="1">
                  <c:v>11390</c:v>
                </c:pt>
                <c:pt idx="2">
                  <c:v>1493</c:v>
                </c:pt>
                <c:pt idx="3">
                  <c:v>1238</c:v>
                </c:pt>
                <c:pt idx="4">
                  <c:v>410</c:v>
                </c:pt>
                <c:pt idx="5" formatCode="#,##0">
                  <c:v>7497</c:v>
                </c:pt>
                <c:pt idx="6" formatCode="#,##0">
                  <c:v>8385</c:v>
                </c:pt>
                <c:pt idx="7" formatCode="#,##0">
                  <c:v>1116</c:v>
                </c:pt>
                <c:pt idx="8" formatCode="#,##0">
                  <c:v>590</c:v>
                </c:pt>
                <c:pt idx="9" formatCode="#,##0">
                  <c:v>368</c:v>
                </c:pt>
              </c:numCache>
            </c:numRef>
          </c:val>
        </c:ser>
        <c:dLbls>
          <c:showLegendKey val="0"/>
          <c:showVal val="0"/>
          <c:showCatName val="0"/>
          <c:showSerName val="0"/>
          <c:showPercent val="0"/>
          <c:showBubbleSize val="0"/>
        </c:dLbls>
        <c:gapWidth val="12"/>
        <c:overlap val="90"/>
        <c:axId val="191662720"/>
        <c:axId val="191730048"/>
      </c:barChart>
      <c:lineChart>
        <c:grouping val="standard"/>
        <c:varyColors val="0"/>
        <c:ser>
          <c:idx val="0"/>
          <c:order val="1"/>
          <c:tx>
            <c:strRef>
              <c:f>Sheet1!$C$1</c:f>
              <c:strCache>
                <c:ptCount val="1"/>
                <c:pt idx="0">
                  <c:v>количество предприятий, единиц</c:v>
                </c:pt>
              </c:strCache>
            </c:strRef>
          </c:tx>
          <c:spPr>
            <a:ln w="25400">
              <a:solidFill>
                <a:srgbClr val="1F497D">
                  <a:lumMod val="50000"/>
                </a:srgbClr>
              </a:solidFill>
              <a:prstDash val="sysDot"/>
            </a:ln>
          </c:spPr>
          <c:marker>
            <c:symbol val="square"/>
            <c:size val="25"/>
            <c:spPr>
              <a:solidFill>
                <a:srgbClr val="4F81BD">
                  <a:lumMod val="75000"/>
                </a:srgbClr>
              </a:solidFill>
              <a:ln w="19050">
                <a:solidFill>
                  <a:srgbClr val="4F81BD">
                    <a:lumMod val="75000"/>
                  </a:srgbClr>
                </a:solidFill>
              </a:ln>
            </c:spPr>
          </c:marker>
          <c:dLbls>
            <c:dLbl>
              <c:idx val="0"/>
              <c:layout>
                <c:manualLayout>
                  <c:x val="-5.3241575464548399E-2"/>
                  <c:y val="-4.4550793564113126E-3"/>
                </c:manualLayout>
              </c:layout>
              <c:dLblPos val="r"/>
              <c:showLegendKey val="0"/>
              <c:showVal val="1"/>
              <c:showCatName val="0"/>
              <c:showSerName val="0"/>
              <c:showPercent val="0"/>
              <c:showBubbleSize val="0"/>
            </c:dLbl>
            <c:dLbl>
              <c:idx val="1"/>
              <c:layout>
                <c:manualLayout>
                  <c:x val="-5.1159110410125157E-2"/>
                  <c:y val="-7.2811637947439928E-4"/>
                </c:manualLayout>
              </c:layout>
              <c:dLblPos val="r"/>
              <c:showLegendKey val="0"/>
              <c:showVal val="1"/>
              <c:showCatName val="0"/>
              <c:showSerName val="0"/>
              <c:showPercent val="0"/>
              <c:showBubbleSize val="0"/>
            </c:dLbl>
            <c:dLbl>
              <c:idx val="2"/>
              <c:layout>
                <c:manualLayout>
                  <c:x val="-5.1039274267326074E-2"/>
                  <c:y val="2.6619272909602695E-3"/>
                </c:manualLayout>
              </c:layout>
              <c:dLblPos val="r"/>
              <c:showLegendKey val="0"/>
              <c:showVal val="1"/>
              <c:showCatName val="0"/>
              <c:showSerName val="0"/>
              <c:showPercent val="0"/>
              <c:showBubbleSize val="0"/>
            </c:dLbl>
            <c:dLbl>
              <c:idx val="3"/>
              <c:layout>
                <c:manualLayout>
                  <c:x val="-4.3954274397616636E-2"/>
                  <c:y val="-2.542119050337664E-3"/>
                </c:manualLayout>
              </c:layout>
              <c:dLblPos val="r"/>
              <c:showLegendKey val="0"/>
              <c:showVal val="1"/>
              <c:showCatName val="0"/>
              <c:showSerName val="0"/>
              <c:showPercent val="0"/>
              <c:showBubbleSize val="0"/>
            </c:dLbl>
            <c:dLbl>
              <c:idx val="4"/>
              <c:layout>
                <c:manualLayout>
                  <c:x val="-4.1504655119226817E-2"/>
                  <c:y val="-1.8030809251711488E-3"/>
                </c:manualLayout>
              </c:layout>
              <c:dLblPos val="r"/>
              <c:showLegendKey val="0"/>
              <c:showVal val="1"/>
              <c:showCatName val="0"/>
              <c:showSerName val="0"/>
              <c:showPercent val="0"/>
              <c:showBubbleSize val="0"/>
            </c:dLbl>
            <c:dLbl>
              <c:idx val="5"/>
              <c:layout>
                <c:manualLayout>
                  <c:x val="-5.5303433120978428E-2"/>
                  <c:y val="-3.1016930873903992E-3"/>
                </c:manualLayout>
              </c:layout>
              <c:dLblPos val="r"/>
              <c:showLegendKey val="0"/>
              <c:showVal val="1"/>
              <c:showCatName val="0"/>
              <c:showSerName val="0"/>
              <c:showPercent val="0"/>
              <c:showBubbleSize val="0"/>
            </c:dLbl>
            <c:dLbl>
              <c:idx val="6"/>
              <c:layout>
                <c:manualLayout>
                  <c:x val="-4.6484124310725392E-2"/>
                  <c:y val="-5.7732661493930873E-3"/>
                </c:manualLayout>
              </c:layout>
              <c:dLblPos val="r"/>
              <c:showLegendKey val="0"/>
              <c:showVal val="1"/>
              <c:showCatName val="0"/>
              <c:showSerName val="0"/>
              <c:showPercent val="0"/>
              <c:showBubbleSize val="0"/>
            </c:dLbl>
            <c:dLbl>
              <c:idx val="7"/>
              <c:layout>
                <c:manualLayout>
                  <c:x val="-4.743264327167649E-2"/>
                  <c:y val="1.2022194311094342E-3"/>
                </c:manualLayout>
              </c:layout>
              <c:dLblPos val="r"/>
              <c:showLegendKey val="0"/>
              <c:showVal val="1"/>
              <c:showCatName val="0"/>
              <c:showSerName val="0"/>
              <c:showPercent val="0"/>
              <c:showBubbleSize val="0"/>
            </c:dLbl>
            <c:dLbl>
              <c:idx val="8"/>
              <c:layout>
                <c:manualLayout>
                  <c:x val="-5.0788055270051841E-2"/>
                  <c:y val="1.6627530411269917E-3"/>
                </c:manualLayout>
              </c:layout>
              <c:dLblPos val="r"/>
              <c:showLegendKey val="0"/>
              <c:showVal val="1"/>
              <c:showCatName val="0"/>
              <c:showSerName val="0"/>
              <c:showPercent val="0"/>
              <c:showBubbleSize val="0"/>
            </c:dLbl>
            <c:dLbl>
              <c:idx val="9"/>
              <c:layout>
                <c:manualLayout>
                  <c:x val="-4.9317090129248252E-2"/>
                  <c:y val="-1.4703514474537559E-3"/>
                </c:manualLayout>
              </c:layout>
              <c:dLblPos val="r"/>
              <c:showLegendKey val="0"/>
              <c:showVal val="1"/>
              <c:showCatName val="0"/>
              <c:showSerName val="0"/>
              <c:showPercent val="0"/>
              <c:showBubbleSize val="0"/>
            </c:dLbl>
            <c:dLbl>
              <c:idx val="10"/>
              <c:layout>
                <c:manualLayout>
                  <c:x val="-4.7296501038753894E-2"/>
                  <c:y val="2.1005813702299581E-2"/>
                </c:manualLayout>
              </c:layout>
              <c:dLblPos val="r"/>
              <c:showLegendKey val="0"/>
              <c:showVal val="1"/>
              <c:showCatName val="0"/>
              <c:showSerName val="0"/>
              <c:showPercent val="0"/>
              <c:showBubbleSize val="0"/>
            </c:dLbl>
            <c:dLbl>
              <c:idx val="11"/>
              <c:layout>
                <c:manualLayout>
                  <c:x val="-5.1857904292585508E-2"/>
                  <c:y val="-1.0624271746816514E-2"/>
                </c:manualLayout>
              </c:layout>
              <c:dLblPos val="r"/>
              <c:showLegendKey val="0"/>
              <c:showVal val="1"/>
              <c:showCatName val="0"/>
              <c:showSerName val="0"/>
              <c:showPercent val="0"/>
              <c:showBubbleSize val="0"/>
            </c:dLbl>
            <c:dLbl>
              <c:idx val="12"/>
              <c:layout>
                <c:manualLayout>
                  <c:x val="-4.833964117014921E-2"/>
                  <c:y val="-1.0577630227702231E-2"/>
                </c:manualLayout>
              </c:layout>
              <c:dLblPos val="r"/>
              <c:showLegendKey val="0"/>
              <c:showVal val="1"/>
              <c:showCatName val="0"/>
              <c:showSerName val="0"/>
              <c:showPercent val="0"/>
              <c:showBubbleSize val="0"/>
            </c:dLbl>
            <c:spPr>
              <a:noFill/>
              <a:ln w="28336">
                <a:noFill/>
              </a:ln>
            </c:spPr>
            <c:txPr>
              <a:bodyPr/>
              <a:lstStyle/>
              <a:p>
                <a:pPr>
                  <a:defRPr sz="1200"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70</c:v>
                </c:pt>
                <c:pt idx="1">
                  <c:v>28</c:v>
                </c:pt>
                <c:pt idx="2">
                  <c:v>13</c:v>
                </c:pt>
                <c:pt idx="3">
                  <c:v>7</c:v>
                </c:pt>
                <c:pt idx="4">
                  <c:v>8</c:v>
                </c:pt>
                <c:pt idx="5">
                  <c:v>15</c:v>
                </c:pt>
                <c:pt idx="6">
                  <c:v>26</c:v>
                </c:pt>
                <c:pt idx="7">
                  <c:v>19</c:v>
                </c:pt>
                <c:pt idx="8">
                  <c:v>13</c:v>
                </c:pt>
                <c:pt idx="9">
                  <c:v>12</c:v>
                </c:pt>
              </c:numCache>
            </c:numRef>
          </c:val>
          <c:smooth val="1"/>
        </c:ser>
        <c:dLbls>
          <c:showLegendKey val="0"/>
          <c:showVal val="0"/>
          <c:showCatName val="0"/>
          <c:showSerName val="0"/>
          <c:showPercent val="0"/>
          <c:showBubbleSize val="0"/>
        </c:dLbls>
        <c:marker val="1"/>
        <c:smooth val="0"/>
        <c:axId val="191731584"/>
        <c:axId val="191733120"/>
      </c:lineChart>
      <c:catAx>
        <c:axId val="191662720"/>
        <c:scaling>
          <c:orientation val="minMax"/>
        </c:scaling>
        <c:delete val="0"/>
        <c:axPos val="b"/>
        <c:numFmt formatCode="General" sourceLinked="1"/>
        <c:majorTickMark val="cross"/>
        <c:minorTickMark val="none"/>
        <c:tickLblPos val="nextTo"/>
        <c:spPr>
          <a:ln w="353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91730048"/>
        <c:crosses val="autoZero"/>
        <c:auto val="0"/>
        <c:lblAlgn val="ctr"/>
        <c:lblOffset val="100"/>
        <c:tickLblSkip val="1"/>
        <c:tickMarkSkip val="1"/>
        <c:noMultiLvlLbl val="0"/>
      </c:catAx>
      <c:valAx>
        <c:axId val="191730048"/>
        <c:scaling>
          <c:orientation val="minMax"/>
          <c:max val="15000"/>
          <c:min val="0"/>
        </c:scaling>
        <c:delete val="0"/>
        <c:axPos val="l"/>
        <c:numFmt formatCode="General" sourceLinked="1"/>
        <c:majorTickMark val="cross"/>
        <c:minorTickMark val="none"/>
        <c:tickLblPos val="nextTo"/>
        <c:txPr>
          <a:bodyPr rot="0" vert="horz"/>
          <a:lstStyle/>
          <a:p>
            <a:pPr>
              <a:defRPr sz="781">
                <a:latin typeface="Times New Roman" pitchFamily="18" charset="0"/>
                <a:cs typeface="Times New Roman" pitchFamily="18" charset="0"/>
              </a:defRPr>
            </a:pPr>
            <a:endParaRPr lang="ru-RU"/>
          </a:p>
        </c:txPr>
        <c:crossAx val="191662720"/>
        <c:crosses val="autoZero"/>
        <c:crossBetween val="between"/>
        <c:majorUnit val="3000"/>
      </c:valAx>
      <c:catAx>
        <c:axId val="191731584"/>
        <c:scaling>
          <c:orientation val="minMax"/>
        </c:scaling>
        <c:delete val="1"/>
        <c:axPos val="b"/>
        <c:numFmt formatCode="General" sourceLinked="1"/>
        <c:majorTickMark val="out"/>
        <c:minorTickMark val="none"/>
        <c:tickLblPos val="nextTo"/>
        <c:crossAx val="191733120"/>
        <c:crosses val="autoZero"/>
        <c:auto val="0"/>
        <c:lblAlgn val="ctr"/>
        <c:lblOffset val="100"/>
        <c:noMultiLvlLbl val="0"/>
      </c:catAx>
      <c:valAx>
        <c:axId val="191733120"/>
        <c:scaling>
          <c:orientation val="minMax"/>
          <c:max val="75"/>
          <c:min val="0"/>
        </c:scaling>
        <c:delete val="0"/>
        <c:axPos val="r"/>
        <c:numFmt formatCode="General" sourceLinked="1"/>
        <c:majorTickMark val="cross"/>
        <c:minorTickMark val="none"/>
        <c:tickLblPos val="nextTo"/>
        <c:spPr>
          <a:ln w="3535">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ru-RU"/>
          </a:p>
        </c:txPr>
        <c:crossAx val="191731584"/>
        <c:crosses val="max"/>
        <c:crossBetween val="between"/>
        <c:majorUnit val="15"/>
      </c:valAx>
      <c:spPr>
        <a:noFill/>
        <a:ln w="25400">
          <a:noFill/>
        </a:ln>
      </c:spPr>
    </c:plotArea>
    <c:legend>
      <c:legendPos val="b"/>
      <c:legendEntry>
        <c:idx val="0"/>
        <c:txPr>
          <a:bodyPr/>
          <a:lstStyle/>
          <a:p>
            <a:pPr>
              <a:defRPr sz="1100" b="0" i="1"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10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5.9449961466750698E-3"/>
          <c:y val="0.91481871538965998"/>
          <c:w val="0.98227553770543785"/>
          <c:h val="8.516446861708285E-2"/>
        </c:manualLayout>
      </c:layout>
      <c:overlay val="0"/>
      <c:spPr>
        <a:noFill/>
        <a:ln w="28284">
          <a:noFill/>
        </a:ln>
      </c:spPr>
      <c:txPr>
        <a:bodyPr/>
        <a:lstStyle/>
        <a:p>
          <a:pPr>
            <a:defRPr sz="1100" b="0" i="1"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16"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a:pPr>
            <a:r>
              <a:rPr lang="ru-RU" sz="1200" b="1" i="1">
                <a:latin typeface="Times New Roman" pitchFamily="18" charset="0"/>
                <a:cs typeface="Times New Roman" pitchFamily="18" charset="0"/>
              </a:rPr>
              <a:t>Динамика уровня безработицы на рынке труда города Твери </a:t>
            </a:r>
            <a:br>
              <a:rPr lang="ru-RU" sz="1200" b="1" i="1">
                <a:latin typeface="Times New Roman" pitchFamily="18" charset="0"/>
                <a:cs typeface="Times New Roman" pitchFamily="18" charset="0"/>
              </a:rPr>
            </a:br>
            <a:r>
              <a:rPr lang="ru-RU" sz="1200" b="1" i="1">
                <a:latin typeface="Times New Roman" pitchFamily="18" charset="0"/>
                <a:cs typeface="Times New Roman" pitchFamily="18" charset="0"/>
              </a:rPr>
              <a:t>на 1 января 2008-2019 годов, %</a:t>
            </a:r>
          </a:p>
        </c:rich>
      </c:tx>
      <c:layout>
        <c:manualLayout>
          <c:xMode val="edge"/>
          <c:yMode val="edge"/>
          <c:x val="0.21720776340821785"/>
          <c:y val="2.3697023297661053E-2"/>
        </c:manualLayout>
      </c:layout>
      <c:overlay val="0"/>
    </c:title>
    <c:autoTitleDeleted val="0"/>
    <c:view3D>
      <c:rotX val="5"/>
      <c:hPercent val="70"/>
      <c:rotY val="0"/>
      <c:depthPercent val="120"/>
      <c:rAngAx val="0"/>
      <c:perspective val="10"/>
    </c:view3D>
    <c:floor>
      <c:thickness val="0"/>
      <c:spPr>
        <a:solidFill>
          <a:schemeClr val="bg1"/>
        </a:solidFill>
        <a:ln w="12700">
          <a:solidFill>
            <a:schemeClr val="bg1"/>
          </a:solidFill>
          <a:prstDash val="solid"/>
        </a:ln>
      </c:spPr>
    </c:floor>
    <c:sideWall>
      <c:thickness val="0"/>
      <c:spPr>
        <a:noFill/>
        <a:ln w="25400">
          <a:noFill/>
        </a:ln>
        <a:scene3d>
          <a:camera prst="orthographicFront"/>
          <a:lightRig rig="threePt" dir="t"/>
        </a:scene3d>
        <a:sp3d>
          <a:bevelB h="6350"/>
        </a:sp3d>
      </c:spPr>
    </c:sideWall>
    <c:backWall>
      <c:thickness val="0"/>
      <c:spPr>
        <a:noFill/>
        <a:ln w="25400">
          <a:noFill/>
        </a:ln>
        <a:scene3d>
          <a:camera prst="orthographicFront"/>
          <a:lightRig rig="threePt" dir="t"/>
        </a:scene3d>
        <a:sp3d>
          <a:bevelB h="6350"/>
        </a:sp3d>
      </c:spPr>
    </c:backWall>
    <c:plotArea>
      <c:layout>
        <c:manualLayout>
          <c:layoutTarget val="inner"/>
          <c:xMode val="edge"/>
          <c:yMode val="edge"/>
          <c:x val="4.7983011519801527E-2"/>
          <c:y val="5.7805327195404141E-2"/>
          <c:w val="0.94505887841699754"/>
          <c:h val="0.88345691631142298"/>
        </c:manualLayout>
      </c:layout>
      <c:line3DChart>
        <c:grouping val="standard"/>
        <c:varyColors val="0"/>
        <c:ser>
          <c:idx val="1"/>
          <c:order val="0"/>
          <c:tx>
            <c:strRef>
              <c:f>Sheet1!$B$1</c:f>
              <c:strCache>
                <c:ptCount val="1"/>
                <c:pt idx="0">
                  <c:v>уровень безработицы,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16200000" scaled="0"/>
            </a:gradFill>
            <a:ln w="9525">
              <a:solidFill>
                <a:srgbClr val="5787C1"/>
              </a:solidFill>
              <a:prstDash val="solid"/>
            </a:ln>
            <a:scene3d>
              <a:camera prst="orthographicFront"/>
              <a:lightRig rig="threePt" dir="t"/>
            </a:scene3d>
            <a:sp3d prstMaterial="metal"/>
          </c:spPr>
          <c:dLbls>
            <c:dLbl>
              <c:idx val="0"/>
              <c:layout>
                <c:manualLayout>
                  <c:x val="-4.6233393125740978E-2"/>
                  <c:y val="-5.1205543720199538E-2"/>
                </c:manualLayout>
              </c:layout>
              <c:showLegendKey val="0"/>
              <c:showVal val="1"/>
              <c:showCatName val="0"/>
              <c:showSerName val="0"/>
              <c:showPercent val="0"/>
              <c:showBubbleSize val="0"/>
            </c:dLbl>
            <c:dLbl>
              <c:idx val="1"/>
              <c:layout>
                <c:manualLayout>
                  <c:x val="-4.7975222143800213E-2"/>
                  <c:y val="-8.8733244267264297E-2"/>
                </c:manualLayout>
              </c:layout>
              <c:showLegendKey val="0"/>
              <c:showVal val="1"/>
              <c:showCatName val="0"/>
              <c:showSerName val="0"/>
              <c:showPercent val="0"/>
              <c:showBubbleSize val="0"/>
            </c:dLbl>
            <c:dLbl>
              <c:idx val="2"/>
              <c:layout>
                <c:manualLayout>
                  <c:x val="-2.7197622826806222E-2"/>
                  <c:y val="-5.1010316445664089E-2"/>
                </c:manualLayout>
              </c:layout>
              <c:showLegendKey val="0"/>
              <c:showVal val="1"/>
              <c:showCatName val="0"/>
              <c:showSerName val="0"/>
              <c:showPercent val="0"/>
              <c:showBubbleSize val="0"/>
            </c:dLbl>
            <c:dLbl>
              <c:idx val="3"/>
              <c:layout>
                <c:manualLayout>
                  <c:x val="-1.4549450881554998E-2"/>
                  <c:y val="-8.3108985167011054E-2"/>
                </c:manualLayout>
              </c:layout>
              <c:showLegendKey val="0"/>
              <c:showVal val="1"/>
              <c:showCatName val="0"/>
              <c:showSerName val="0"/>
              <c:showPercent val="0"/>
              <c:showBubbleSize val="0"/>
            </c:dLbl>
            <c:dLbl>
              <c:idx val="4"/>
              <c:layout>
                <c:manualLayout>
                  <c:x val="-2.1995588919537134E-2"/>
                  <c:y val="-7.2979504808160137E-2"/>
                </c:manualLayout>
              </c:layout>
              <c:showLegendKey val="0"/>
              <c:showVal val="1"/>
              <c:showCatName val="0"/>
              <c:showSerName val="0"/>
              <c:showPercent val="0"/>
              <c:showBubbleSize val="0"/>
            </c:dLbl>
            <c:dLbl>
              <c:idx val="5"/>
              <c:layout>
                <c:manualLayout>
                  <c:x val="-2.8105054987398261E-2"/>
                  <c:y val="-8.2545335261534167E-2"/>
                </c:manualLayout>
              </c:layout>
              <c:showLegendKey val="0"/>
              <c:showVal val="1"/>
              <c:showCatName val="0"/>
              <c:showSerName val="0"/>
              <c:showPercent val="0"/>
              <c:showBubbleSize val="0"/>
            </c:dLbl>
            <c:dLbl>
              <c:idx val="6"/>
              <c:layout>
                <c:manualLayout>
                  <c:x val="-3.2859905066698156E-2"/>
                  <c:y val="-8.51656035246173E-2"/>
                </c:manualLayout>
              </c:layout>
              <c:spPr>
                <a:noFill/>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dLbl>
            <c:dLbl>
              <c:idx val="7"/>
              <c:layout>
                <c:manualLayout>
                  <c:x val="-4.1040173824021434E-2"/>
                  <c:y val="-8.3489035754743132E-2"/>
                </c:manualLayout>
              </c:layout>
              <c:showLegendKey val="0"/>
              <c:showVal val="1"/>
              <c:showCatName val="0"/>
              <c:showSerName val="0"/>
              <c:showPercent val="0"/>
              <c:showBubbleSize val="0"/>
            </c:dLbl>
            <c:dLbl>
              <c:idx val="8"/>
              <c:layout>
                <c:manualLayout>
                  <c:x val="-2.8861379624283735E-2"/>
                  <c:y val="-5.9193950035281669E-2"/>
                </c:manualLayout>
              </c:layout>
              <c:showLegendKey val="0"/>
              <c:showVal val="1"/>
              <c:showCatName val="0"/>
              <c:showSerName val="0"/>
              <c:showPercent val="0"/>
              <c:showBubbleSize val="0"/>
            </c:dLbl>
            <c:dLbl>
              <c:idx val="9"/>
              <c:layout>
                <c:manualLayout>
                  <c:x val="-1.4878170268223285E-2"/>
                  <c:y val="-5.9082260450320168E-2"/>
                </c:manualLayout>
              </c:layout>
              <c:showLegendKey val="0"/>
              <c:showVal val="1"/>
              <c:showCatName val="0"/>
              <c:showSerName val="0"/>
              <c:showPercent val="0"/>
              <c:showBubbleSize val="0"/>
            </c:dLbl>
            <c:dLbl>
              <c:idx val="10"/>
              <c:layout>
                <c:manualLayout>
                  <c:x val="-1.1905389587793021E-2"/>
                  <c:y val="-6.2089923273845112E-2"/>
                </c:manualLayout>
              </c:layout>
              <c:showLegendKey val="0"/>
              <c:showVal val="1"/>
              <c:showCatName val="0"/>
              <c:showSerName val="0"/>
              <c:showPercent val="0"/>
              <c:showBubbleSize val="0"/>
            </c:dLbl>
            <c:dLbl>
              <c:idx val="11"/>
              <c:layout>
                <c:manualLayout>
                  <c:x val="-1.8079996178961086E-2"/>
                  <c:y val="-6.2770158746090099E-2"/>
                </c:manualLayout>
              </c:layout>
              <c:showLegendKey val="0"/>
              <c:showVal val="1"/>
              <c:showCatName val="0"/>
              <c:showSerName val="0"/>
              <c:showPercent val="0"/>
              <c:showBubbleSize val="0"/>
            </c:dLbl>
            <c:dLbl>
              <c:idx val="12"/>
              <c:layout>
                <c:manualLayout>
                  <c:x val="0"/>
                  <c:y val="-5.888377004496842E-2"/>
                </c:manualLayout>
              </c:layout>
              <c:showLegendKey val="0"/>
              <c:showVal val="1"/>
              <c:showCatName val="0"/>
              <c:showSerName val="0"/>
              <c:showPercent val="0"/>
              <c:showBubbleSize val="0"/>
            </c:dLbl>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0.00</c:formatCode>
                <c:ptCount val="12"/>
                <c:pt idx="0">
                  <c:v>0.35</c:v>
                </c:pt>
                <c:pt idx="1">
                  <c:v>0.43</c:v>
                </c:pt>
                <c:pt idx="2">
                  <c:v>1.42</c:v>
                </c:pt>
                <c:pt idx="3">
                  <c:v>0.72</c:v>
                </c:pt>
                <c:pt idx="4">
                  <c:v>0.63</c:v>
                </c:pt>
                <c:pt idx="5">
                  <c:v>0.45</c:v>
                </c:pt>
                <c:pt idx="6">
                  <c:v>0.39</c:v>
                </c:pt>
                <c:pt idx="7">
                  <c:v>0.48</c:v>
                </c:pt>
                <c:pt idx="8">
                  <c:v>0.72</c:v>
                </c:pt>
                <c:pt idx="9">
                  <c:v>0.6</c:v>
                </c:pt>
                <c:pt idx="10">
                  <c:v>0.28999999999999998</c:v>
                </c:pt>
                <c:pt idx="11">
                  <c:v>0.19</c:v>
                </c:pt>
              </c:numCache>
            </c:numRef>
          </c:val>
          <c:smooth val="0"/>
        </c:ser>
        <c:dLbls>
          <c:showLegendKey val="0"/>
          <c:showVal val="0"/>
          <c:showCatName val="0"/>
          <c:showSerName val="0"/>
          <c:showPercent val="0"/>
          <c:showBubbleSize val="0"/>
        </c:dLbls>
        <c:gapDepth val="4"/>
        <c:axId val="193087360"/>
        <c:axId val="193088896"/>
        <c:axId val="131896640"/>
      </c:line3DChart>
      <c:catAx>
        <c:axId val="193087360"/>
        <c:scaling>
          <c:orientation val="minMax"/>
        </c:scaling>
        <c:delete val="0"/>
        <c:axPos val="b"/>
        <c:numFmt formatCode="General" sourceLinked="1"/>
        <c:majorTickMark val="out"/>
        <c:minorTickMark val="none"/>
        <c:tickLblPos val="low"/>
        <c:spPr>
          <a:ln w="13049">
            <a:solidFill>
              <a:srgbClr val="969696"/>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93088896"/>
        <c:crossesAt val="0"/>
        <c:auto val="0"/>
        <c:lblAlgn val="ctr"/>
        <c:lblOffset val="100"/>
        <c:tickLblSkip val="1"/>
        <c:tickMarkSkip val="1"/>
        <c:noMultiLvlLbl val="1"/>
      </c:catAx>
      <c:valAx>
        <c:axId val="193088896"/>
        <c:scaling>
          <c:orientation val="minMax"/>
          <c:max val="1.5"/>
          <c:min val="0.2"/>
        </c:scaling>
        <c:delete val="0"/>
        <c:axPos val="l"/>
        <c:majorGridlines>
          <c:spPr>
            <a:ln w="6350">
              <a:noFill/>
            </a:ln>
          </c:spPr>
        </c:majorGridlines>
        <c:numFmt formatCode="0.00" sourceLinked="1"/>
        <c:majorTickMark val="out"/>
        <c:minorTickMark val="none"/>
        <c:tickLblPos val="nextTo"/>
        <c:spPr>
          <a:noFill/>
          <a:ln>
            <a:solidFill>
              <a:sysClr val="window" lastClr="FFFFFF">
                <a:lumMod val="85000"/>
              </a:sysClr>
            </a:solidFill>
          </a:ln>
        </c:spPr>
        <c:txPr>
          <a:bodyPr/>
          <a:lstStyle/>
          <a:p>
            <a:pPr>
              <a:defRPr sz="800">
                <a:latin typeface="Times New Roman" pitchFamily="18" charset="0"/>
                <a:cs typeface="Times New Roman" pitchFamily="18" charset="0"/>
              </a:defRPr>
            </a:pPr>
            <a:endParaRPr lang="ru-RU"/>
          </a:p>
        </c:txPr>
        <c:crossAx val="193087360"/>
        <c:crosses val="autoZero"/>
        <c:crossBetween val="between"/>
        <c:majorUnit val="0.1"/>
      </c:valAx>
      <c:serAx>
        <c:axId val="131896640"/>
        <c:scaling>
          <c:orientation val="minMax"/>
        </c:scaling>
        <c:delete val="1"/>
        <c:axPos val="b"/>
        <c:majorTickMark val="out"/>
        <c:minorTickMark val="none"/>
        <c:tickLblPos val="nextTo"/>
        <c:crossAx val="193088896"/>
        <c:crossesAt val="0"/>
      </c:serAx>
      <c:spPr>
        <a:noFill/>
        <a:ln w="25400">
          <a:noFill/>
        </a:ln>
      </c:spPr>
    </c:plotArea>
    <c:plotVisOnly val="1"/>
    <c:dispBlanksAs val="gap"/>
    <c:showDLblsOverMax val="0"/>
  </c:chart>
  <c:spPr>
    <a:noFill/>
    <a:ln>
      <a:noFill/>
    </a:ln>
  </c:spPr>
  <c:txPr>
    <a:bodyPr/>
    <a:lstStyle/>
    <a:p>
      <a:pPr>
        <a:defRPr sz="1025" b="0" i="0" u="none" strike="noStrike" baseline="0">
          <a:solidFill>
            <a:srgbClr val="000000"/>
          </a:solidFill>
          <a:latin typeface="Arial"/>
          <a:ea typeface="Arial"/>
          <a:cs typeface="Arial"/>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2084910292537299"/>
          <c:y val="3.2649928192938146E-3"/>
          <c:w val="0.3072085825106286"/>
          <c:h val="0.95920566532956963"/>
        </c:manualLayout>
      </c:layout>
      <c:doughnutChart>
        <c:varyColors val="1"/>
        <c:ser>
          <c:idx val="0"/>
          <c:order val="0"/>
          <c:tx>
            <c:strRef>
              <c:f>Лист1!$B$1</c:f>
              <c:strCache>
                <c:ptCount val="1"/>
                <c:pt idx="0">
                  <c:v>Продажи</c:v>
                </c:pt>
              </c:strCache>
            </c:strRef>
          </c:tx>
          <c:explosion val="6"/>
          <c:dPt>
            <c:idx val="1"/>
            <c:bubble3D val="0"/>
            <c:spPr>
              <a:pattFill prst="pct40">
                <a:fgClr>
                  <a:schemeClr val="accent1">
                    <a:lumMod val="75000"/>
                  </a:schemeClr>
                </a:fgClr>
                <a:bgClr>
                  <a:schemeClr val="bg1"/>
                </a:bgClr>
              </a:pattFill>
            </c:spPr>
          </c:dPt>
          <c:dPt>
            <c:idx val="2"/>
            <c:bubble3D val="0"/>
            <c:spPr>
              <a:gradFill>
                <a:gsLst>
                  <a:gs pos="0">
                    <a:schemeClr val="accent1">
                      <a:lumMod val="75000"/>
                    </a:schemeClr>
                  </a:gs>
                  <a:gs pos="63000">
                    <a:schemeClr val="accent1">
                      <a:tint val="44500"/>
                      <a:satMod val="160000"/>
                    </a:schemeClr>
                  </a:gs>
                  <a:gs pos="100000">
                    <a:schemeClr val="accent1">
                      <a:tint val="23500"/>
                      <a:satMod val="160000"/>
                    </a:schemeClr>
                  </a:gs>
                </a:gsLst>
                <a:lin ang="5400000" scaled="0"/>
              </a:gradFill>
            </c:spPr>
          </c:dPt>
          <c:dPt>
            <c:idx val="3"/>
            <c:bubble3D val="0"/>
            <c:spPr>
              <a:solidFill>
                <a:schemeClr val="accent4">
                  <a:lumMod val="40000"/>
                  <a:lumOff val="60000"/>
                </a:schemeClr>
              </a:solidFill>
            </c:spPr>
          </c:dPt>
          <c:dPt>
            <c:idx val="5"/>
            <c:bubble3D val="0"/>
            <c:spPr>
              <a:pattFill prst="horzBrick">
                <a:fgClr>
                  <a:schemeClr val="bg1"/>
                </a:fgClr>
                <a:bgClr>
                  <a:schemeClr val="accent6">
                    <a:lumMod val="60000"/>
                    <a:lumOff val="40000"/>
                  </a:schemeClr>
                </a:bgClr>
              </a:pattFill>
            </c:spPr>
          </c:dPt>
          <c:dLbls>
            <c:dLbl>
              <c:idx val="0"/>
              <c:layout/>
              <c:tx>
                <c:rich>
                  <a:bodyPr/>
                  <a:lstStyle/>
                  <a:p>
                    <a:r>
                      <a:rPr lang="en-US" sz="1050" b="1"/>
                      <a:t>36,</a:t>
                    </a:r>
                    <a:r>
                      <a:rPr lang="ru-RU" sz="1050" b="1"/>
                      <a:t>3</a:t>
                    </a:r>
                    <a:endParaRPr lang="en-US"/>
                  </a:p>
                </c:rich>
              </c:tx>
              <c:showLegendKey val="0"/>
              <c:showVal val="1"/>
              <c:showCatName val="0"/>
              <c:showSerName val="0"/>
              <c:showPercent val="0"/>
              <c:showBubbleSize val="0"/>
            </c:dLbl>
            <c:dLbl>
              <c:idx val="1"/>
              <c:layout/>
              <c:tx>
                <c:rich>
                  <a:bodyPr/>
                  <a:lstStyle/>
                  <a:p>
                    <a:r>
                      <a:rPr lang="en-US" sz="1050" b="1"/>
                      <a:t>14,</a:t>
                    </a:r>
                    <a:r>
                      <a:rPr lang="ru-RU" sz="1050" b="1"/>
                      <a:t>3</a:t>
                    </a:r>
                    <a:endParaRPr lang="en-US"/>
                  </a:p>
                </c:rich>
              </c:tx>
              <c:showLegendKey val="0"/>
              <c:showVal val="1"/>
              <c:showCatName val="0"/>
              <c:showSerName val="0"/>
              <c:showPercent val="0"/>
              <c:showBubbleSize val="0"/>
            </c:dLbl>
            <c:dLbl>
              <c:idx val="2"/>
              <c:layout/>
              <c:tx>
                <c:rich>
                  <a:bodyPr/>
                  <a:lstStyle/>
                  <a:p>
                    <a:r>
                      <a:rPr lang="en-US" sz="1050" b="1"/>
                      <a:t>8,</a:t>
                    </a:r>
                    <a:r>
                      <a:rPr lang="ru-RU" sz="1050" b="1"/>
                      <a:t>5</a:t>
                    </a:r>
                    <a:endParaRPr lang="en-US"/>
                  </a:p>
                </c:rich>
              </c:tx>
              <c:showLegendKey val="0"/>
              <c:showVal val="1"/>
              <c:showCatName val="0"/>
              <c:showSerName val="0"/>
              <c:showPercent val="0"/>
              <c:showBubbleSize val="0"/>
            </c:dLbl>
            <c:dLbl>
              <c:idx val="3"/>
              <c:layout/>
              <c:tx>
                <c:rich>
                  <a:bodyPr/>
                  <a:lstStyle/>
                  <a:p>
                    <a:r>
                      <a:rPr lang="en-US" sz="1050" b="1"/>
                      <a:t>6,0</a:t>
                    </a:r>
                    <a:endParaRPr lang="en-US"/>
                  </a:p>
                </c:rich>
              </c:tx>
              <c:showLegendKey val="0"/>
              <c:showVal val="1"/>
              <c:showCatName val="0"/>
              <c:showSerName val="0"/>
              <c:showPercent val="0"/>
              <c:showBubbleSize val="0"/>
            </c:dLbl>
            <c:dLbl>
              <c:idx val="4"/>
              <c:layout/>
              <c:tx>
                <c:rich>
                  <a:bodyPr/>
                  <a:lstStyle/>
                  <a:p>
                    <a:r>
                      <a:rPr lang="en-US" sz="1050" b="1"/>
                      <a:t>6,5</a:t>
                    </a:r>
                    <a:endParaRPr lang="en-US"/>
                  </a:p>
                </c:rich>
              </c:tx>
              <c:showLegendKey val="0"/>
              <c:showVal val="1"/>
              <c:showCatName val="0"/>
              <c:showSerName val="0"/>
              <c:showPercent val="0"/>
              <c:showBubbleSize val="0"/>
            </c:dLbl>
            <c:dLbl>
              <c:idx val="5"/>
              <c:layout/>
              <c:tx>
                <c:rich>
                  <a:bodyPr/>
                  <a:lstStyle/>
                  <a:p>
                    <a:r>
                      <a:rPr lang="en-US" sz="1050" b="1"/>
                      <a:t>5,9</a:t>
                    </a:r>
                    <a:endParaRPr lang="en-US"/>
                  </a:p>
                </c:rich>
              </c:tx>
              <c:showLegendKey val="0"/>
              <c:showVal val="1"/>
              <c:showCatName val="0"/>
              <c:showSerName val="0"/>
              <c:showPercent val="0"/>
              <c:showBubbleSize val="0"/>
            </c:dLbl>
            <c:dLbl>
              <c:idx val="6"/>
              <c:layout/>
              <c:tx>
                <c:rich>
                  <a:bodyPr/>
                  <a:lstStyle/>
                  <a:p>
                    <a:r>
                      <a:rPr lang="en-US" sz="1050" b="1"/>
                      <a:t>3,</a:t>
                    </a:r>
                    <a:r>
                      <a:rPr lang="ru-RU" sz="1050" b="1"/>
                      <a:t>8</a:t>
                    </a:r>
                    <a:endParaRPr lang="en-US"/>
                  </a:p>
                </c:rich>
              </c:tx>
              <c:showLegendKey val="0"/>
              <c:showVal val="1"/>
              <c:showCatName val="0"/>
              <c:showSerName val="0"/>
              <c:showPercent val="0"/>
              <c:showBubbleSize val="0"/>
            </c:dLbl>
            <c:dLbl>
              <c:idx val="7"/>
              <c:layout/>
              <c:tx>
                <c:rich>
                  <a:bodyPr/>
                  <a:lstStyle/>
                  <a:p>
                    <a:r>
                      <a:rPr lang="ru-RU" sz="1050" b="1"/>
                      <a:t>18</a:t>
                    </a:r>
                    <a:r>
                      <a:rPr lang="en-US" sz="1050" b="1"/>
                      <a:t>,</a:t>
                    </a:r>
                    <a:r>
                      <a:rPr lang="ru-RU" sz="1050" b="1"/>
                      <a:t>7</a:t>
                    </a:r>
                    <a:endParaRPr lang="en-US"/>
                  </a:p>
                </c:rich>
              </c:tx>
              <c:showLegendKey val="0"/>
              <c:showVal val="1"/>
              <c:showCatName val="0"/>
              <c:showSerName val="0"/>
              <c:showPercent val="0"/>
              <c:showBubbleSize val="0"/>
            </c:dLbl>
            <c:txPr>
              <a:bodyPr/>
              <a:lstStyle/>
              <a:p>
                <a:pPr>
                  <a:defRPr sz="1050" b="1"/>
                </a:pPr>
                <a:endParaRPr lang="ru-RU"/>
              </a:p>
            </c:txPr>
            <c:showLegendKey val="0"/>
            <c:showVal val="1"/>
            <c:showCatName val="0"/>
            <c:showSerName val="0"/>
            <c:showPercent val="0"/>
            <c:showBubbleSize val="0"/>
            <c:showLeaderLines val="1"/>
          </c:dLbls>
          <c:cat>
            <c:strRef>
              <c:f>Лист1!$A$2:$A$9</c:f>
              <c:strCache>
                <c:ptCount val="8"/>
                <c:pt idx="0">
                  <c:v>Торговля (оптовая, розничная), ремонт автотранспортных средств </c:v>
                </c:pt>
                <c:pt idx="1">
                  <c:v>Транспортировка и хранение      </c:v>
                </c:pt>
                <c:pt idx="2">
                  <c:v>Профессиональная, научная и техническая </c:v>
                </c:pt>
                <c:pt idx="3">
                  <c:v>Обрабатывающие производства </c:v>
                </c:pt>
                <c:pt idx="4">
                  <c:v>Операции с недвижимым имуществом </c:v>
                </c:pt>
                <c:pt idx="5">
                  <c:v>Строительство </c:v>
                </c:pt>
                <c:pt idx="6">
                  <c:v>Информация и связи </c:v>
                </c:pt>
                <c:pt idx="7">
                  <c:v>Прочие виды деятельности</c:v>
                </c:pt>
              </c:strCache>
            </c:strRef>
          </c:cat>
          <c:val>
            <c:numRef>
              <c:f>Лист1!$B$2:$B$9</c:f>
              <c:numCache>
                <c:formatCode>0.00%</c:formatCode>
                <c:ptCount val="8"/>
                <c:pt idx="0">
                  <c:v>0.36237944866433386</c:v>
                </c:pt>
                <c:pt idx="1">
                  <c:v>0.14286933515404968</c:v>
                </c:pt>
                <c:pt idx="2">
                  <c:v>8.4663309720918317E-2</c:v>
                </c:pt>
                <c:pt idx="3">
                  <c:v>6.0425023470171549E-2</c:v>
                </c:pt>
                <c:pt idx="4">
                  <c:v>6.5289749935990446E-2</c:v>
                </c:pt>
                <c:pt idx="5">
                  <c:v>5.9400870529999143E-2</c:v>
                </c:pt>
                <c:pt idx="6">
                  <c:v>3.7637620551335668E-2</c:v>
                </c:pt>
                <c:pt idx="7">
                  <c:v>0.18733464197320138</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47298388171124872"/>
          <c:y val="6.5814886346753825E-4"/>
          <c:w val="0.45026662928062738"/>
          <c:h val="0.99934180580142962"/>
        </c:manualLayout>
      </c:layout>
      <c:overlay val="0"/>
      <c:txPr>
        <a:bodyPr/>
        <a:lstStyle/>
        <a:p>
          <a:pPr algn="just">
            <a:defRPr sz="105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Times New Roman" pitchFamily="18" charset="0"/>
                <a:ea typeface="Calibri"/>
                <a:cs typeface="Times New Roman" pitchFamily="18" charset="0"/>
              </a:defRPr>
            </a:pPr>
            <a:r>
              <a:rPr lang="ru-RU" sz="1200" b="1" i="1" baseline="0">
                <a:latin typeface="Times New Roman" pitchFamily="18" charset="0"/>
                <a:cs typeface="Times New Roman" pitchFamily="18" charset="0"/>
              </a:rPr>
              <a:t>Динамика оборота розничной торговли в 2018-2025 годах</a:t>
            </a:r>
          </a:p>
        </c:rich>
      </c:tx>
      <c:layout>
        <c:manualLayout>
          <c:xMode val="edge"/>
          <c:yMode val="edge"/>
          <c:x val="0.16355564061436764"/>
          <c:y val="1.8498728815194035E-3"/>
        </c:manualLayout>
      </c:layout>
      <c:overlay val="0"/>
      <c:spPr>
        <a:noFill/>
        <a:ln w="18975">
          <a:noFill/>
        </a:ln>
      </c:spPr>
    </c:title>
    <c:autoTitleDeleted val="0"/>
    <c:plotArea>
      <c:layout>
        <c:manualLayout>
          <c:layoutTarget val="inner"/>
          <c:xMode val="edge"/>
          <c:yMode val="edge"/>
          <c:x val="3.7418890347039956E-2"/>
          <c:y val="2.9962925383959539E-2"/>
          <c:w val="0.90648567119155354"/>
          <c:h val="0.82939714901682637"/>
        </c:manualLayout>
      </c:layout>
      <c:barChart>
        <c:barDir val="col"/>
        <c:grouping val="clustered"/>
        <c:varyColors val="0"/>
        <c:ser>
          <c:idx val="1"/>
          <c:order val="0"/>
          <c:tx>
            <c:strRef>
              <c:f>Sheet1!$A$2</c:f>
              <c:strCache>
                <c:ptCount val="1"/>
                <c:pt idx="0">
                  <c:v>Оборот розничной торговли, млрд. рублей</c:v>
                </c:pt>
              </c:strCache>
            </c:strRef>
          </c:tx>
          <c:spPr>
            <a:gradFill>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0"/>
            </a:gradFill>
            <a:ln w="9487">
              <a:solidFill>
                <a:srgbClr val="4F81BD">
                  <a:lumMod val="75000"/>
                </a:srgbClr>
              </a:solidFill>
              <a:prstDash val="solid"/>
            </a:ln>
          </c:spPr>
          <c:invertIfNegative val="0"/>
          <c:dLbls>
            <c:dLbl>
              <c:idx val="0"/>
              <c:layout>
                <c:manualLayout>
                  <c:x val="-2.140254171183532E-3"/>
                  <c:y val="0.10045440230035253"/>
                </c:manualLayout>
              </c:layout>
              <c:dLblPos val="outEnd"/>
              <c:showLegendKey val="0"/>
              <c:showVal val="1"/>
              <c:showCatName val="0"/>
              <c:showSerName val="0"/>
              <c:showPercent val="0"/>
              <c:showBubbleSize val="0"/>
            </c:dLbl>
            <c:dLbl>
              <c:idx val="1"/>
              <c:layout>
                <c:manualLayout>
                  <c:x val="1.6013504594202144E-3"/>
                  <c:y val="0.13189927970351573"/>
                </c:manualLayout>
              </c:layout>
              <c:dLblPos val="outEnd"/>
              <c:showLegendKey val="0"/>
              <c:showVal val="1"/>
              <c:showCatName val="0"/>
              <c:showSerName val="0"/>
              <c:showPercent val="0"/>
              <c:showBubbleSize val="0"/>
            </c:dLbl>
            <c:dLbl>
              <c:idx val="2"/>
              <c:layout>
                <c:manualLayout>
                  <c:x val="-1.0810075643328306E-3"/>
                  <c:y val="0.151090954377953"/>
                </c:manualLayout>
              </c:layout>
              <c:dLblPos val="outEnd"/>
              <c:showLegendKey val="0"/>
              <c:showVal val="1"/>
              <c:showCatName val="0"/>
              <c:showSerName val="0"/>
              <c:showPercent val="0"/>
              <c:showBubbleSize val="0"/>
            </c:dLbl>
            <c:dLbl>
              <c:idx val="3"/>
              <c:layout>
                <c:manualLayout>
                  <c:x val="3.3828688462292341E-3"/>
                  <c:y val="0.19772438018454255"/>
                </c:manualLayout>
              </c:layout>
              <c:dLblPos val="outEnd"/>
              <c:showLegendKey val="0"/>
              <c:showVal val="1"/>
              <c:showCatName val="0"/>
              <c:showSerName val="0"/>
              <c:showPercent val="0"/>
              <c:showBubbleSize val="0"/>
            </c:dLbl>
            <c:dLbl>
              <c:idx val="4"/>
              <c:layout>
                <c:manualLayout>
                  <c:x val="3.2580562846310879E-3"/>
                  <c:y val="0.23744636256343088"/>
                </c:manualLayout>
              </c:layout>
              <c:dLblPos val="outEnd"/>
              <c:showLegendKey val="0"/>
              <c:showVal val="1"/>
              <c:showCatName val="0"/>
              <c:showSerName val="0"/>
              <c:showPercent val="0"/>
              <c:showBubbleSize val="0"/>
            </c:dLbl>
            <c:dLbl>
              <c:idx val="5"/>
              <c:layout>
                <c:manualLayout>
                  <c:x val="-9.3336857198405752E-4"/>
                  <c:y val="0.29198236716866438"/>
                </c:manualLayout>
              </c:layout>
              <c:dLblPos val="outEnd"/>
              <c:showLegendKey val="0"/>
              <c:showVal val="1"/>
              <c:showCatName val="0"/>
              <c:showSerName val="0"/>
              <c:showPercent val="0"/>
              <c:showBubbleSize val="0"/>
            </c:dLbl>
            <c:dLbl>
              <c:idx val="6"/>
              <c:layout>
                <c:manualLayout>
                  <c:x val="1.95969427432682E-3"/>
                  <c:y val="0.35082054819397657"/>
                </c:manualLayout>
              </c:layout>
              <c:dLblPos val="outEnd"/>
              <c:showLegendKey val="0"/>
              <c:showVal val="1"/>
              <c:showCatName val="0"/>
              <c:showSerName val="0"/>
              <c:showPercent val="0"/>
              <c:showBubbleSize val="0"/>
            </c:dLbl>
            <c:dLbl>
              <c:idx val="7"/>
              <c:layout>
                <c:manualLayout>
                  <c:x val="8.4299358413531642E-5"/>
                  <c:y val="0.38081934136370277"/>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1897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2018</c:v>
                </c:pt>
                <c:pt idx="1">
                  <c:v>2019</c:v>
                </c:pt>
                <c:pt idx="2">
                  <c:v>2020</c:v>
                </c:pt>
                <c:pt idx="3">
                  <c:v>2021</c:v>
                </c:pt>
                <c:pt idx="4">
                  <c:v>2022</c:v>
                </c:pt>
                <c:pt idx="5">
                  <c:v>2023</c:v>
                </c:pt>
                <c:pt idx="6">
                  <c:v>2024</c:v>
                </c:pt>
                <c:pt idx="7">
                  <c:v>2025</c:v>
                </c:pt>
              </c:numCache>
            </c:numRef>
          </c:cat>
          <c:val>
            <c:numRef>
              <c:f>Sheet1!$B$2:$I$2</c:f>
              <c:numCache>
                <c:formatCode>0.0</c:formatCode>
                <c:ptCount val="8"/>
                <c:pt idx="0">
                  <c:v>171.7</c:v>
                </c:pt>
                <c:pt idx="1">
                  <c:v>185.2</c:v>
                </c:pt>
                <c:pt idx="2">
                  <c:v>197.9</c:v>
                </c:pt>
                <c:pt idx="3">
                  <c:v>212.1</c:v>
                </c:pt>
                <c:pt idx="4">
                  <c:v>226.9</c:v>
                </c:pt>
                <c:pt idx="5">
                  <c:v>243.3</c:v>
                </c:pt>
                <c:pt idx="6">
                  <c:v>261.2</c:v>
                </c:pt>
                <c:pt idx="7">
                  <c:v>280.3</c:v>
                </c:pt>
              </c:numCache>
            </c:numRef>
          </c:val>
        </c:ser>
        <c:dLbls>
          <c:showLegendKey val="0"/>
          <c:showVal val="0"/>
          <c:showCatName val="0"/>
          <c:showSerName val="0"/>
          <c:showPercent val="0"/>
          <c:showBubbleSize val="0"/>
        </c:dLbls>
        <c:gapWidth val="4"/>
        <c:axId val="176582016"/>
        <c:axId val="176596096"/>
      </c:barChart>
      <c:lineChart>
        <c:grouping val="standard"/>
        <c:varyColors val="0"/>
        <c:ser>
          <c:idx val="0"/>
          <c:order val="1"/>
          <c:tx>
            <c:strRef>
              <c:f>Sheet1!$A$3</c:f>
              <c:strCache>
                <c:ptCount val="1"/>
                <c:pt idx="0">
                  <c:v>Темп роста, % в сопоставимых ценах </c:v>
                </c:pt>
              </c:strCache>
            </c:strRef>
          </c:tx>
          <c:spPr>
            <a:ln w="18975">
              <a:solidFill>
                <a:srgbClr val="C00000"/>
              </a:solidFill>
              <a:prstDash val="sysDot"/>
            </a:ln>
          </c:spPr>
          <c:marker>
            <c:symbol val="diamond"/>
            <c:size val="40"/>
            <c:spPr>
              <a:solidFill>
                <a:srgbClr val="800000"/>
              </a:solidFill>
              <a:ln>
                <a:solidFill>
                  <a:srgbClr val="FFFFCC"/>
                </a:solidFill>
                <a:prstDash val="solid"/>
              </a:ln>
            </c:spPr>
          </c:marker>
          <c:dLbls>
            <c:dLbl>
              <c:idx val="0"/>
              <c:layout>
                <c:manualLayout>
                  <c:x val="-7.3331706595090182E-2"/>
                  <c:y val="-4.0002730628624474E-3"/>
                </c:manualLayout>
              </c:layout>
              <c:dLblPos val="r"/>
              <c:showLegendKey val="0"/>
              <c:showVal val="1"/>
              <c:showCatName val="0"/>
              <c:showSerName val="0"/>
              <c:showPercent val="0"/>
              <c:showBubbleSize val="0"/>
            </c:dLbl>
            <c:dLbl>
              <c:idx val="1"/>
              <c:layout>
                <c:manualLayout>
                  <c:x val="-7.3549899144551373E-2"/>
                  <c:y val="-5.6670898926615082E-3"/>
                </c:manualLayout>
              </c:layout>
              <c:dLblPos val="r"/>
              <c:showLegendKey val="0"/>
              <c:showVal val="1"/>
              <c:showCatName val="0"/>
              <c:showSerName val="0"/>
              <c:showPercent val="0"/>
              <c:showBubbleSize val="0"/>
            </c:dLbl>
            <c:dLbl>
              <c:idx val="2"/>
              <c:layout>
                <c:manualLayout>
                  <c:x val="-7.3985825556527662E-2"/>
                  <c:y val="-2.5007990912915049E-3"/>
                </c:manualLayout>
              </c:layout>
              <c:dLblPos val="r"/>
              <c:showLegendKey val="0"/>
              <c:showVal val="1"/>
              <c:showCatName val="0"/>
              <c:showSerName val="0"/>
              <c:showPercent val="0"/>
              <c:showBubbleSize val="0"/>
            </c:dLbl>
            <c:dLbl>
              <c:idx val="3"/>
              <c:layout>
                <c:manualLayout>
                  <c:x val="-7.0046387430737822E-2"/>
                  <c:y val="-1.0037897555146938E-2"/>
                </c:manualLayout>
              </c:layout>
              <c:dLblPos val="r"/>
              <c:showLegendKey val="0"/>
              <c:showVal val="1"/>
              <c:showCatName val="0"/>
              <c:showSerName val="0"/>
              <c:showPercent val="0"/>
              <c:showBubbleSize val="0"/>
            </c:dLbl>
            <c:dLbl>
              <c:idx val="4"/>
              <c:layout>
                <c:manualLayout>
                  <c:x val="-7.0276198114124624E-2"/>
                  <c:y val="-3.53103886494721E-3"/>
                </c:manualLayout>
              </c:layout>
              <c:dLblPos val="r"/>
              <c:showLegendKey val="0"/>
              <c:showVal val="1"/>
              <c:showCatName val="0"/>
              <c:showSerName val="0"/>
              <c:showPercent val="0"/>
              <c:showBubbleSize val="0"/>
            </c:dLbl>
            <c:dLbl>
              <c:idx val="5"/>
              <c:layout>
                <c:manualLayout>
                  <c:x val="-7.1256045251288036E-2"/>
                  <c:y val="-2.9445887542696924E-3"/>
                </c:manualLayout>
              </c:layout>
              <c:dLblPos val="r"/>
              <c:showLegendKey val="0"/>
              <c:showVal val="1"/>
              <c:showCatName val="0"/>
              <c:showSerName val="0"/>
              <c:showPercent val="0"/>
              <c:showBubbleSize val="0"/>
            </c:dLbl>
            <c:dLbl>
              <c:idx val="6"/>
              <c:layout>
                <c:manualLayout>
                  <c:x val="-6.8915105229901824E-2"/>
                  <c:y val="-2.1850182624651494E-3"/>
                </c:manualLayout>
              </c:layout>
              <c:dLblPos val="r"/>
              <c:showLegendKey val="0"/>
              <c:showVal val="1"/>
              <c:showCatName val="0"/>
              <c:showSerName val="0"/>
              <c:showPercent val="0"/>
              <c:showBubbleSize val="0"/>
            </c:dLbl>
            <c:dLbl>
              <c:idx val="7"/>
              <c:layout>
                <c:manualLayout>
                  <c:x val="-7.2029017206182558E-2"/>
                  <c:y val="-3.1481690688244125E-3"/>
                </c:manualLayout>
              </c:layout>
              <c:dLblPos val="r"/>
              <c:showLegendKey val="0"/>
              <c:showVal val="1"/>
              <c:showCatName val="0"/>
              <c:showSerName val="0"/>
              <c:showPercent val="0"/>
              <c:showBubbleSize val="0"/>
            </c:dLbl>
            <c:dLbl>
              <c:idx val="8"/>
              <c:layout>
                <c:manualLayout>
                  <c:x val="-5.4054290904401885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18975">
                <a:noFill/>
              </a:ln>
            </c:spPr>
            <c:txPr>
              <a:bodyPr/>
              <a:lstStyle/>
              <a:p>
                <a:pPr>
                  <a:defRPr sz="100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2018</c:v>
                </c:pt>
                <c:pt idx="1">
                  <c:v>2019</c:v>
                </c:pt>
                <c:pt idx="2">
                  <c:v>2020</c:v>
                </c:pt>
                <c:pt idx="3">
                  <c:v>2021</c:v>
                </c:pt>
                <c:pt idx="4">
                  <c:v>2022</c:v>
                </c:pt>
                <c:pt idx="5">
                  <c:v>2023</c:v>
                </c:pt>
                <c:pt idx="6">
                  <c:v>2024</c:v>
                </c:pt>
                <c:pt idx="7">
                  <c:v>2025</c:v>
                </c:pt>
              </c:numCache>
            </c:numRef>
          </c:cat>
          <c:val>
            <c:numRef>
              <c:f>Sheet1!$B$3:$I$3</c:f>
              <c:numCache>
                <c:formatCode>#,##0.0</c:formatCode>
                <c:ptCount val="8"/>
                <c:pt idx="0">
                  <c:v>102.9</c:v>
                </c:pt>
                <c:pt idx="1">
                  <c:v>103.5</c:v>
                </c:pt>
                <c:pt idx="2">
                  <c:v>103.3</c:v>
                </c:pt>
                <c:pt idx="3">
                  <c:v>103</c:v>
                </c:pt>
                <c:pt idx="4">
                  <c:v>103</c:v>
                </c:pt>
                <c:pt idx="5">
                  <c:v>103.1</c:v>
                </c:pt>
                <c:pt idx="6" formatCode="General">
                  <c:v>103.2</c:v>
                </c:pt>
                <c:pt idx="7" formatCode="General">
                  <c:v>103.2</c:v>
                </c:pt>
              </c:numCache>
            </c:numRef>
          </c:val>
          <c:smooth val="0"/>
        </c:ser>
        <c:dLbls>
          <c:showLegendKey val="0"/>
          <c:showVal val="0"/>
          <c:showCatName val="0"/>
          <c:showSerName val="0"/>
          <c:showPercent val="0"/>
          <c:showBubbleSize val="0"/>
        </c:dLbls>
        <c:marker val="1"/>
        <c:smooth val="0"/>
        <c:axId val="176597632"/>
        <c:axId val="176615808"/>
      </c:lineChart>
      <c:catAx>
        <c:axId val="176582016"/>
        <c:scaling>
          <c:orientation val="minMax"/>
        </c:scaling>
        <c:delete val="0"/>
        <c:axPos val="b"/>
        <c:numFmt formatCode="General" sourceLinked="1"/>
        <c:majorTickMark val="cross"/>
        <c:minorTickMark val="none"/>
        <c:tickLblPos val="nextTo"/>
        <c:spPr>
          <a:ln w="2372">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76596096"/>
        <c:crosses val="autoZero"/>
        <c:auto val="0"/>
        <c:lblAlgn val="ctr"/>
        <c:lblOffset val="100"/>
        <c:tickLblSkip val="1"/>
        <c:tickMarkSkip val="1"/>
        <c:noMultiLvlLbl val="0"/>
      </c:catAx>
      <c:valAx>
        <c:axId val="176596096"/>
        <c:scaling>
          <c:orientation val="minMax"/>
          <c:max val="285"/>
          <c:min val="130"/>
        </c:scaling>
        <c:delete val="0"/>
        <c:axPos val="l"/>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176582016"/>
        <c:crosses val="autoZero"/>
        <c:crossBetween val="between"/>
        <c:majorUnit val="20"/>
      </c:valAx>
      <c:catAx>
        <c:axId val="176597632"/>
        <c:scaling>
          <c:orientation val="minMax"/>
        </c:scaling>
        <c:delete val="1"/>
        <c:axPos val="b"/>
        <c:numFmt formatCode="General" sourceLinked="1"/>
        <c:majorTickMark val="out"/>
        <c:minorTickMark val="none"/>
        <c:tickLblPos val="nextTo"/>
        <c:crossAx val="176615808"/>
        <c:crosses val="autoZero"/>
        <c:auto val="0"/>
        <c:lblAlgn val="ctr"/>
        <c:lblOffset val="100"/>
        <c:noMultiLvlLbl val="0"/>
      </c:catAx>
      <c:valAx>
        <c:axId val="176615808"/>
        <c:scaling>
          <c:orientation val="minMax"/>
          <c:max val="110"/>
          <c:min val="80"/>
        </c:scaling>
        <c:delete val="0"/>
        <c:axPos val="r"/>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176597632"/>
        <c:crosses val="max"/>
        <c:crossBetween val="between"/>
      </c:valAx>
      <c:spPr>
        <a:noFill/>
        <a:ln w="18975">
          <a:noFill/>
        </a:ln>
      </c:spPr>
    </c:plotArea>
    <c:legend>
      <c:legendPos val="b"/>
      <c:layout>
        <c:manualLayout>
          <c:xMode val="edge"/>
          <c:yMode val="edge"/>
          <c:x val="2.4132581833600678E-2"/>
          <c:y val="0.92220010865182267"/>
          <c:w val="0.97285067873303166"/>
          <c:h val="6.356156121867923E-2"/>
        </c:manualLayout>
      </c:layout>
      <c:overlay val="0"/>
      <c:spPr>
        <a:noFill/>
        <a:ln w="18975">
          <a:noFill/>
        </a:ln>
      </c:spPr>
      <c:txPr>
        <a:bodyPr/>
        <a:lstStyle/>
        <a:p>
          <a:pPr>
            <a:defRPr sz="9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95989768207928E-2"/>
          <c:y val="8.3399181013703333E-2"/>
          <c:w val="0.88730242053076702"/>
          <c:h val="0.58899577208021414"/>
        </c:manualLayout>
      </c:layout>
      <c:barChart>
        <c:barDir val="col"/>
        <c:grouping val="clustered"/>
        <c:varyColors val="0"/>
        <c:ser>
          <c:idx val="0"/>
          <c:order val="0"/>
          <c:tx>
            <c:strRef>
              <c:f>Лист1!$B$1</c:f>
              <c:strCache>
                <c:ptCount val="1"/>
                <c:pt idx="0">
                  <c:v>Тверская область</c:v>
                </c:pt>
              </c:strCache>
            </c:strRef>
          </c:tx>
          <c:invertIfNegative val="0"/>
          <c:dLbls>
            <c:dLbl>
              <c:idx val="0"/>
              <c:layout>
                <c:manualLayout>
                  <c:x val="-2.3148148148148147E-3"/>
                  <c:y val="0.11698671420509879"/>
                </c:manualLayout>
              </c:layout>
              <c:tx>
                <c:rich>
                  <a:bodyPr/>
                  <a:lstStyle/>
                  <a:p>
                    <a:r>
                      <a:rPr lang="en-US" sz="1100" b="1">
                        <a:solidFill>
                          <a:schemeClr val="bg1"/>
                        </a:solidFill>
                        <a:latin typeface="Times New Roman" pitchFamily="18" charset="0"/>
                        <a:cs typeface="Times New Roman" pitchFamily="18" charset="0"/>
                      </a:rPr>
                      <a:t>6</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1"/>
              <c:layout>
                <c:manualLayout>
                  <c:x val="0"/>
                  <c:y val="0.10820042629369007"/>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2"/>
              <c:layout>
                <c:manualLayout>
                  <c:x val="-1.8226888305628463E-7"/>
                  <c:y val="0.11621809518065586"/>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0</a:t>
                    </a:r>
                    <a:endParaRPr lang="en-US"/>
                  </a:p>
                </c:rich>
              </c:tx>
              <c:showLegendKey val="0"/>
              <c:showVal val="1"/>
              <c:showCatName val="0"/>
              <c:showSerName val="0"/>
              <c:showPercent val="0"/>
              <c:showBubbleSize val="0"/>
            </c:dLbl>
            <c:dLbl>
              <c:idx val="3"/>
              <c:layout>
                <c:manualLayout>
                  <c:x val="2.3148148148148147E-3"/>
                  <c:y val="0.13876285064152105"/>
                </c:manualLayout>
              </c:layout>
              <c:tx>
                <c:rich>
                  <a:bodyPr/>
                  <a:lstStyle/>
                  <a:p>
                    <a:r>
                      <a:rPr lang="en-US" sz="1100" b="1">
                        <a:solidFill>
                          <a:schemeClr val="bg1"/>
                        </a:solidFill>
                        <a:latin typeface="Times New Roman" pitchFamily="18" charset="0"/>
                        <a:cs typeface="Times New Roman" pitchFamily="18" charset="0"/>
                      </a:rPr>
                      <a:t>8</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5</a:t>
                    </a:r>
                    <a:endParaRPr lang="en-US"/>
                  </a:p>
                </c:rich>
              </c:tx>
              <c:showLegendKey val="0"/>
              <c:showVal val="1"/>
              <c:showCatName val="0"/>
              <c:showSerName val="0"/>
              <c:showPercent val="0"/>
              <c:showBubbleSize val="0"/>
            </c:dLbl>
            <c:dLbl>
              <c:idx val="4"/>
              <c:layout>
                <c:manualLayout>
                  <c:x val="0"/>
                  <c:y val="0.11491041427349839"/>
                </c:manualLayout>
              </c:layout>
              <c:tx>
                <c:rich>
                  <a:bodyPr/>
                  <a:lstStyle/>
                  <a:p>
                    <a:r>
                      <a:rPr lang="en-US" sz="1100" b="1">
                        <a:solidFill>
                          <a:schemeClr val="bg1"/>
                        </a:solidFill>
                        <a:latin typeface="Times New Roman" pitchFamily="18" charset="0"/>
                        <a:cs typeface="Times New Roman" pitchFamily="18" charset="0"/>
                      </a:rPr>
                      <a:t>10</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5"/>
              <c:layout>
                <c:manualLayout>
                  <c:x val="8.4875562720133283E-17"/>
                  <c:y val="0.12919391781106279"/>
                </c:manualLayout>
              </c:layout>
              <c:tx>
                <c:rich>
                  <a:bodyPr/>
                  <a:lstStyle/>
                  <a:p>
                    <a:r>
                      <a:rPr lang="en-US" sz="1100" b="1">
                        <a:solidFill>
                          <a:schemeClr val="bg1"/>
                        </a:solidFill>
                        <a:latin typeface="Times New Roman" pitchFamily="18" charset="0"/>
                        <a:cs typeface="Times New Roman" pitchFamily="18" charset="0"/>
                      </a:rPr>
                      <a:t>9</a:t>
                    </a:r>
                    <a:r>
                      <a:rPr lang="ru-RU" sz="1100" b="1">
                        <a:solidFill>
                          <a:schemeClr val="bg1"/>
                        </a:solidFill>
                        <a:latin typeface="Times New Roman" pitchFamily="18" charset="0"/>
                        <a:cs typeface="Times New Roman" pitchFamily="18" charset="0"/>
                      </a:rPr>
                      <a:t>,2</a:t>
                    </a:r>
                    <a:endParaRPr lang="en-US"/>
                  </a:p>
                </c:rich>
              </c:tx>
              <c:showLegendKey val="0"/>
              <c:showVal val="1"/>
              <c:showCatName val="0"/>
              <c:showSerName val="0"/>
              <c:showPercent val="0"/>
              <c:showBubbleSize val="0"/>
            </c:dLbl>
            <c:dLbl>
              <c:idx val="6"/>
              <c:layout>
                <c:manualLayout>
                  <c:x val="0"/>
                  <c:y val="0.13281072850029058"/>
                </c:manualLayout>
              </c:layout>
              <c:tx>
                <c:rich>
                  <a:bodyPr/>
                  <a:lstStyle/>
                  <a:p>
                    <a:r>
                      <a:rPr lang="en-US" sz="1100" b="1">
                        <a:solidFill>
                          <a:schemeClr val="bg1"/>
                        </a:solidFill>
                        <a:latin typeface="Times New Roman" pitchFamily="18" charset="0"/>
                        <a:cs typeface="Times New Roman" pitchFamily="18" charset="0"/>
                      </a:rPr>
                      <a:t>10</a:t>
                    </a:r>
                    <a:r>
                      <a:rPr lang="ru-RU" sz="1100" b="1">
                        <a:solidFill>
                          <a:schemeClr val="bg1"/>
                        </a:solidFill>
                        <a:latin typeface="Times New Roman" pitchFamily="18" charset="0"/>
                        <a:cs typeface="Times New Roman" pitchFamily="18" charset="0"/>
                      </a:rPr>
                      <a:t>,7</a:t>
                    </a:r>
                    <a:endParaRPr lang="en-US"/>
                  </a:p>
                </c:rich>
              </c:tx>
              <c:showLegendKey val="0"/>
              <c:showVal val="1"/>
              <c:showCatName val="0"/>
              <c:showSerName val="0"/>
              <c:showPercent val="0"/>
              <c:showBubbleSize val="0"/>
            </c:dLbl>
            <c:dLbl>
              <c:idx val="7"/>
              <c:layout>
                <c:manualLayout>
                  <c:x val="2.3148148148148147E-3"/>
                  <c:y val="0.12601377997392119"/>
                </c:manualLayout>
              </c:layout>
              <c:tx>
                <c:rich>
                  <a:bodyPr/>
                  <a:lstStyle/>
                  <a:p>
                    <a:r>
                      <a:rPr lang="en-US" sz="1100" b="1">
                        <a:solidFill>
                          <a:schemeClr val="bg1"/>
                        </a:solidFill>
                        <a:latin typeface="Times New Roman" pitchFamily="18" charset="0"/>
                        <a:cs typeface="Times New Roman" pitchFamily="18" charset="0"/>
                      </a:rPr>
                      <a:t>14</a:t>
                    </a:r>
                    <a:r>
                      <a:rPr lang="ru-RU" sz="1100" b="1">
                        <a:solidFill>
                          <a:schemeClr val="bg1"/>
                        </a:solidFill>
                        <a:latin typeface="Times New Roman" pitchFamily="18" charset="0"/>
                        <a:cs typeface="Times New Roman" pitchFamily="18" charset="0"/>
                      </a:rPr>
                      <a:t>,</a:t>
                    </a:r>
                    <a:r>
                      <a:rPr lang="en-US" sz="1100" b="1">
                        <a:solidFill>
                          <a:schemeClr val="bg1"/>
                        </a:solidFill>
                        <a:latin typeface="Times New Roman" pitchFamily="18" charset="0"/>
                        <a:cs typeface="Times New Roman" pitchFamily="18" charset="0"/>
                      </a:rPr>
                      <a:t>1</a:t>
                    </a:r>
                    <a:endParaRPr lang="en-US"/>
                  </a:p>
                </c:rich>
              </c:tx>
              <c:showLegendKey val="0"/>
              <c:showVal val="1"/>
              <c:showCatName val="0"/>
              <c:showSerName val="0"/>
              <c:showPercent val="0"/>
              <c:showBubbleSize val="0"/>
            </c:dLbl>
            <c:txPr>
              <a:bodyPr/>
              <a:lstStyle/>
              <a:p>
                <a:pPr>
                  <a:defRPr sz="11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Лист1!$B$2:$B$9</c:f>
              <c:numCache>
                <c:formatCode>#,##0</c:formatCode>
                <c:ptCount val="8"/>
                <c:pt idx="0">
                  <c:v>6086911</c:v>
                </c:pt>
                <c:pt idx="1">
                  <c:v>8575294</c:v>
                </c:pt>
                <c:pt idx="2">
                  <c:v>8024727</c:v>
                </c:pt>
                <c:pt idx="3">
                  <c:v>8528116</c:v>
                </c:pt>
                <c:pt idx="4">
                  <c:v>10786470</c:v>
                </c:pt>
                <c:pt idx="5">
                  <c:v>9190295</c:v>
                </c:pt>
                <c:pt idx="6">
                  <c:v>10668258</c:v>
                </c:pt>
                <c:pt idx="7">
                  <c:v>14128693</c:v>
                </c:pt>
              </c:numCache>
            </c:numRef>
          </c:val>
        </c:ser>
        <c:ser>
          <c:idx val="1"/>
          <c:order val="1"/>
          <c:tx>
            <c:strRef>
              <c:f>Лист1!$C$1</c:f>
              <c:strCache>
                <c:ptCount val="1"/>
                <c:pt idx="0">
                  <c:v>город Тверь</c:v>
                </c:pt>
              </c:strCache>
            </c:strRef>
          </c:tx>
          <c:spPr>
            <a:solidFill>
              <a:srgbClr val="FFFFFF"/>
            </a:solidFill>
            <a:ln w="22225">
              <a:solidFill>
                <a:schemeClr val="accent5">
                  <a:lumMod val="50000"/>
                </a:schemeClr>
              </a:solidFill>
            </a:ln>
          </c:spPr>
          <c:invertIfNegative val="0"/>
          <c:dLbls>
            <c:dLbl>
              <c:idx val="0"/>
              <c:layout>
                <c:manualLayout>
                  <c:x val="0"/>
                  <c:y val="0.12182447120478088"/>
                </c:manualLayout>
              </c:layout>
              <c:tx>
                <c:rich>
                  <a:bodyPr/>
                  <a:lstStyle/>
                  <a:p>
                    <a:r>
                      <a:rPr lang="en-US" sz="1100" b="1">
                        <a:latin typeface="Times New Roman" pitchFamily="18" charset="0"/>
                        <a:cs typeface="Times New Roman" pitchFamily="18" charset="0"/>
                      </a:rPr>
                      <a:t>3</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1"/>
              <c:layout>
                <c:manualLayout>
                  <c:x val="0"/>
                  <c:y val="0.10511149378925848"/>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6</a:t>
                    </a:r>
                    <a:endParaRPr lang="en-US"/>
                  </a:p>
                </c:rich>
              </c:tx>
              <c:showLegendKey val="0"/>
              <c:showVal val="1"/>
              <c:showCatName val="0"/>
              <c:showSerName val="0"/>
              <c:showPercent val="0"/>
              <c:showBubbleSize val="0"/>
            </c:dLbl>
            <c:dLbl>
              <c:idx val="2"/>
              <c:layout>
                <c:manualLayout>
                  <c:x val="2.3148148148148147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3"/>
              <c:layout>
                <c:manualLayout>
                  <c:x val="4.6296296296296294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,4</a:t>
                    </a:r>
                    <a:endParaRPr lang="en-US"/>
                  </a:p>
                </c:rich>
              </c:tx>
              <c:showLegendKey val="0"/>
              <c:showVal val="1"/>
              <c:showCatName val="0"/>
              <c:showSerName val="0"/>
              <c:showPercent val="0"/>
              <c:showBubbleSize val="0"/>
            </c:dLbl>
            <c:dLbl>
              <c:idx val="4"/>
              <c:layout>
                <c:manualLayout>
                  <c:x val="2.3148148148148147E-3"/>
                  <c:y val="0.11303838534965871"/>
                </c:manualLayout>
              </c:layout>
              <c:tx>
                <c:rich>
                  <a:bodyPr/>
                  <a:lstStyle/>
                  <a:p>
                    <a:r>
                      <a:rPr lang="en-US" sz="1100" b="1">
                        <a:latin typeface="Times New Roman" pitchFamily="18" charset="0"/>
                        <a:cs typeface="Times New Roman" pitchFamily="18" charset="0"/>
                      </a:rPr>
                      <a:t>2</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5"/>
              <c:layout>
                <c:manualLayout>
                  <c:x val="2.3148148148148997E-3"/>
                  <c:y val="0.11028049783614094"/>
                </c:manualLayout>
              </c:layout>
              <c:tx>
                <c:rich>
                  <a:bodyPr/>
                  <a:lstStyle/>
                  <a:p>
                    <a:r>
                      <a:rPr lang="en-US" sz="1100" b="1">
                        <a:latin typeface="Times New Roman" pitchFamily="18" charset="0"/>
                        <a:cs typeface="Times New Roman" pitchFamily="18" charset="0"/>
                      </a:rPr>
                      <a:t>4</a:t>
                    </a:r>
                    <a:r>
                      <a:rPr lang="ru-RU" sz="1100" b="1">
                        <a:latin typeface="Times New Roman" pitchFamily="18" charset="0"/>
                        <a:cs typeface="Times New Roman" pitchFamily="18" charset="0"/>
                      </a:rPr>
                      <a:t>,2</a:t>
                    </a:r>
                    <a:endParaRPr lang="en-US"/>
                  </a:p>
                </c:rich>
              </c:tx>
              <c:showLegendKey val="0"/>
              <c:showVal val="1"/>
              <c:showCatName val="0"/>
              <c:showSerName val="0"/>
              <c:showPercent val="0"/>
              <c:showBubbleSize val="0"/>
            </c:dLbl>
            <c:dLbl>
              <c:idx val="6"/>
              <c:layout>
                <c:manualLayout>
                  <c:x val="4.6296296296296294E-3"/>
                  <c:y val="0.11028049783614094"/>
                </c:manualLayout>
              </c:layout>
              <c:tx>
                <c:rich>
                  <a:bodyPr/>
                  <a:lstStyle/>
                  <a:p>
                    <a:r>
                      <a:rPr lang="en-US" sz="1100" b="1">
                        <a:latin typeface="Times New Roman" pitchFamily="18" charset="0"/>
                        <a:cs typeface="Times New Roman" pitchFamily="18" charset="0"/>
                      </a:rPr>
                      <a:t>5</a:t>
                    </a:r>
                    <a:r>
                      <a:rPr lang="ru-RU" sz="1100" b="1">
                        <a:latin typeface="Times New Roman" pitchFamily="18" charset="0"/>
                        <a:cs typeface="Times New Roman" pitchFamily="18" charset="0"/>
                      </a:rPr>
                      <a:t>,3</a:t>
                    </a:r>
                    <a:endParaRPr lang="en-US"/>
                  </a:p>
                </c:rich>
              </c:tx>
              <c:showLegendKey val="0"/>
              <c:showVal val="1"/>
              <c:showCatName val="0"/>
              <c:showSerName val="0"/>
              <c:showPercent val="0"/>
              <c:showBubbleSize val="0"/>
            </c:dLbl>
            <c:dLbl>
              <c:idx val="7"/>
              <c:layout>
                <c:manualLayout>
                  <c:x val="0"/>
                  <c:y val="0.11665506014970575"/>
                </c:manualLayout>
              </c:layout>
              <c:tx>
                <c:rich>
                  <a:bodyPr/>
                  <a:lstStyle/>
                  <a:p>
                    <a:r>
                      <a:rPr lang="en-US" sz="1100" b="1">
                        <a:latin typeface="Times New Roman" pitchFamily="18" charset="0"/>
                        <a:cs typeface="Times New Roman" pitchFamily="18" charset="0"/>
                      </a:rPr>
                      <a:t>6</a:t>
                    </a:r>
                    <a:r>
                      <a:rPr lang="ru-RU" sz="1100" b="1">
                        <a:latin typeface="Times New Roman" pitchFamily="18" charset="0"/>
                        <a:cs typeface="Times New Roman" pitchFamily="18" charset="0"/>
                      </a:rPr>
                      <a:t>,</a:t>
                    </a:r>
                    <a:r>
                      <a:rPr lang="en-US" sz="1100" b="1">
                        <a:latin typeface="Times New Roman" pitchFamily="18" charset="0"/>
                        <a:cs typeface="Times New Roman" pitchFamily="18" charset="0"/>
                      </a:rPr>
                      <a:t>8</a:t>
                    </a:r>
                    <a:endParaRPr lang="en-US"/>
                  </a:p>
                </c:rich>
              </c:tx>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Лист1!$C$2:$C$9</c:f>
              <c:numCache>
                <c:formatCode>#,##0</c:formatCode>
                <c:ptCount val="8"/>
                <c:pt idx="0">
                  <c:v>3631107</c:v>
                </c:pt>
                <c:pt idx="1">
                  <c:v>4644845</c:v>
                </c:pt>
                <c:pt idx="2">
                  <c:v>4129923</c:v>
                </c:pt>
                <c:pt idx="3">
                  <c:v>4393850</c:v>
                </c:pt>
                <c:pt idx="4">
                  <c:v>2770368</c:v>
                </c:pt>
                <c:pt idx="5">
                  <c:v>4168155</c:v>
                </c:pt>
                <c:pt idx="6">
                  <c:v>5252841</c:v>
                </c:pt>
                <c:pt idx="7">
                  <c:v>6833004</c:v>
                </c:pt>
              </c:numCache>
            </c:numRef>
          </c:val>
        </c:ser>
        <c:dLbls>
          <c:showLegendKey val="0"/>
          <c:showVal val="0"/>
          <c:showCatName val="0"/>
          <c:showSerName val="0"/>
          <c:showPercent val="0"/>
          <c:showBubbleSize val="0"/>
        </c:dLbls>
        <c:gapWidth val="14"/>
        <c:overlap val="74"/>
        <c:axId val="157248128"/>
        <c:axId val="178389376"/>
      </c:barChart>
      <c:catAx>
        <c:axId val="157248128"/>
        <c:scaling>
          <c:orientation val="minMax"/>
        </c:scaling>
        <c:delete val="0"/>
        <c:axPos val="b"/>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ru-RU"/>
          </a:p>
        </c:txPr>
        <c:crossAx val="178389376"/>
        <c:crosses val="autoZero"/>
        <c:auto val="1"/>
        <c:lblAlgn val="ctr"/>
        <c:lblOffset val="100"/>
        <c:noMultiLvlLbl val="0"/>
      </c:catAx>
      <c:valAx>
        <c:axId val="178389376"/>
        <c:scaling>
          <c:orientation val="minMax"/>
        </c:scaling>
        <c:delete val="1"/>
        <c:axPos val="l"/>
        <c:majorGridlines>
          <c:spPr>
            <a:ln>
              <a:noFill/>
            </a:ln>
          </c:spPr>
        </c:majorGridlines>
        <c:numFmt formatCode="#,##0" sourceLinked="1"/>
        <c:majorTickMark val="out"/>
        <c:minorTickMark val="none"/>
        <c:tickLblPos val="nextTo"/>
        <c:crossAx val="157248128"/>
        <c:crosses val="autoZero"/>
        <c:crossBetween val="between"/>
      </c:valAx>
      <c:spPr>
        <a:noFill/>
        <a:ln>
          <a:noFill/>
        </a:ln>
      </c:spPr>
    </c:plotArea>
    <c:legend>
      <c:legendPos val="r"/>
      <c:layout>
        <c:manualLayout>
          <c:xMode val="edge"/>
          <c:yMode val="edge"/>
          <c:x val="0.11731003300742446"/>
          <c:y val="0.84269268894832328"/>
          <c:w val="0.72195093696653567"/>
          <c:h val="0.10414882647978889"/>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0.05128</cdr:x>
      <cdr:y>0.77362</cdr:y>
    </cdr:from>
    <cdr:to>
      <cdr:x>0.86327</cdr:x>
      <cdr:y>1</cdr:y>
    </cdr:to>
    <cdr:sp macro="" textlink="">
      <cdr:nvSpPr>
        <cdr:cNvPr id="2" name="Дуга 1"/>
        <cdr:cNvSpPr/>
      </cdr:nvSpPr>
      <cdr:spPr>
        <a:xfrm xmlns:a="http://schemas.openxmlformats.org/drawingml/2006/main" rot="10022554">
          <a:off x="333954" y="1820573"/>
          <a:ext cx="5287618" cy="532737"/>
        </a:xfrm>
        <a:prstGeom xmlns:a="http://schemas.openxmlformats.org/drawingml/2006/main" prst="arc">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0.02</cdr:x>
      <cdr:y>0.01677</cdr:y>
    </cdr:from>
    <cdr:to>
      <cdr:x>0.1225</cdr:x>
      <cdr:y>0.07129</cdr:y>
    </cdr:to>
    <cdr:sp macro="" textlink="">
      <cdr:nvSpPr>
        <cdr:cNvPr id="4" name="Поле 3"/>
        <cdr:cNvSpPr txBox="1"/>
      </cdr:nvSpPr>
      <cdr:spPr>
        <a:xfrm xmlns:a="http://schemas.openxmlformats.org/drawingml/2006/main">
          <a:off x="127221" y="63611"/>
          <a:ext cx="652007"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0.05931</cdr:x>
      <cdr:y>0</cdr:y>
    </cdr:from>
    <cdr:to>
      <cdr:x>0.20093</cdr:x>
      <cdr:y>0.07548</cdr:y>
    </cdr:to>
    <cdr:sp macro="" textlink="">
      <cdr:nvSpPr>
        <cdr:cNvPr id="5" name="Поле 4"/>
        <cdr:cNvSpPr txBox="1"/>
      </cdr:nvSpPr>
      <cdr:spPr>
        <a:xfrm xmlns:a="http://schemas.openxmlformats.org/drawingml/2006/main">
          <a:off x="383421" y="0"/>
          <a:ext cx="915474" cy="211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b="1" i="1">
              <a:latin typeface="Times New Roman" panose="02020603050405020304" pitchFamily="18" charset="0"/>
              <a:cs typeface="Times New Roman" panose="02020603050405020304" pitchFamily="18" charset="0"/>
            </a:rPr>
            <a:t>тыс. кв. м</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DDDE-0C02-42B0-AA0B-DF5FBD28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21</Pages>
  <Words>6541</Words>
  <Characters>43721</Characters>
  <Application>Microsoft Office Word</Application>
  <DocSecurity>0</DocSecurity>
  <Lines>364</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50162</CharactersWithSpaces>
  <SharedDoc>false</SharedDoc>
  <HLinks>
    <vt:vector size="12" baseType="variant">
      <vt:variant>
        <vt:i4>1310727</vt:i4>
      </vt:variant>
      <vt:variant>
        <vt:i4>48</vt:i4>
      </vt:variant>
      <vt:variant>
        <vt:i4>0</vt:i4>
      </vt:variant>
      <vt:variant>
        <vt:i4>5</vt:i4>
      </vt:variant>
      <vt:variant>
        <vt:lpwstr>consultantplus://offline/ref=A384A29EDF63BC43B2B21C667B6B732A3A931109E0BC4A7B66EECCBBD90CEE6AD0F1C65B6E1721PArEO</vt:lpwstr>
      </vt:variant>
      <vt:variant>
        <vt:lpwstr/>
      </vt:variant>
      <vt:variant>
        <vt:i4>7012400</vt:i4>
      </vt:variant>
      <vt:variant>
        <vt:i4>33</vt:i4>
      </vt:variant>
      <vt:variant>
        <vt:i4>0</vt:i4>
      </vt:variant>
      <vt:variant>
        <vt:i4>5</vt:i4>
      </vt:variant>
      <vt:variant>
        <vt:lpwstr>garantf1://16245268.0/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Win</dc:creator>
  <cp:lastModifiedBy>Ирина А. Бадыбина</cp:lastModifiedBy>
  <cp:revision>113</cp:revision>
  <cp:lastPrinted>2019-10-04T07:45:00Z</cp:lastPrinted>
  <dcterms:created xsi:type="dcterms:W3CDTF">2019-06-19T06:55:00Z</dcterms:created>
  <dcterms:modified xsi:type="dcterms:W3CDTF">2019-10-04T07:54:00Z</dcterms:modified>
</cp:coreProperties>
</file>